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C6713" w14:textId="77777777" w:rsidR="00BB4EF8" w:rsidRDefault="00B05D26" w:rsidP="00A10547">
      <w:pPr>
        <w:pStyle w:val="Heading1"/>
        <w:jc w:val="both"/>
        <w:rPr>
          <w:rFonts w:ascii="Rockwell" w:hAnsi="Rockwell"/>
          <w:sz w:val="28"/>
          <w:szCs w:val="28"/>
        </w:rPr>
      </w:pPr>
      <w:bookmarkStart w:id="0" w:name="_GoBack"/>
      <w:bookmarkEnd w:id="0"/>
      <w:r>
        <w:rPr>
          <w:rFonts w:ascii="Rockwell" w:hAnsi="Rockwell"/>
          <w:noProof/>
          <w:sz w:val="28"/>
          <w:szCs w:val="28"/>
          <w:lang w:eastAsia="en-GB"/>
        </w:rPr>
        <w:drawing>
          <wp:anchor distT="0" distB="0" distL="114300" distR="114300" simplePos="0" relativeHeight="251657728" behindDoc="1" locked="0" layoutInCell="1" allowOverlap="1" wp14:anchorId="18789ABC" wp14:editId="65D4EC85">
            <wp:simplePos x="0" y="0"/>
            <wp:positionH relativeFrom="column">
              <wp:posOffset>3769995</wp:posOffset>
            </wp:positionH>
            <wp:positionV relativeFrom="paragraph">
              <wp:posOffset>-361950</wp:posOffset>
            </wp:positionV>
            <wp:extent cx="2286000" cy="855345"/>
            <wp:effectExtent l="0" t="0" r="0" b="1905"/>
            <wp:wrapNone/>
            <wp:docPr id="117" name="Picture 117" descr="WLV_LOGO_09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WLV_LOGO_09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855345"/>
                    </a:xfrm>
                    <a:prstGeom prst="rect">
                      <a:avLst/>
                    </a:prstGeom>
                    <a:noFill/>
                  </pic:spPr>
                </pic:pic>
              </a:graphicData>
            </a:graphic>
            <wp14:sizeRelH relativeFrom="page">
              <wp14:pctWidth>0</wp14:pctWidth>
            </wp14:sizeRelH>
            <wp14:sizeRelV relativeFrom="page">
              <wp14:pctHeight>0</wp14:pctHeight>
            </wp14:sizeRelV>
          </wp:anchor>
        </w:drawing>
      </w:r>
    </w:p>
    <w:p w14:paraId="6BBB1D11" w14:textId="77777777" w:rsidR="00BB4EF8" w:rsidRPr="008F07B5" w:rsidRDefault="00BB4EF8" w:rsidP="00A10547">
      <w:pPr>
        <w:pStyle w:val="Heading1"/>
        <w:jc w:val="both"/>
        <w:rPr>
          <w:rFonts w:ascii="Rockwell" w:hAnsi="Rockwell"/>
          <w:sz w:val="28"/>
          <w:szCs w:val="28"/>
        </w:rPr>
      </w:pPr>
      <w:r>
        <w:rPr>
          <w:rFonts w:ascii="Rockwell" w:hAnsi="Rockwell"/>
          <w:sz w:val="28"/>
          <w:szCs w:val="28"/>
        </w:rPr>
        <w:t>REGULATIONS &amp;</w:t>
      </w:r>
      <w:r w:rsidRPr="008F07B5">
        <w:rPr>
          <w:rFonts w:ascii="Rockwell" w:hAnsi="Rockwell"/>
          <w:sz w:val="28"/>
          <w:szCs w:val="28"/>
        </w:rPr>
        <w:t xml:space="preserve"> PROCEDURE FOR THE INVESTIGATION OF ACADEMIC MISCONDUCT</w:t>
      </w:r>
    </w:p>
    <w:p w14:paraId="0456F4DD" w14:textId="77777777" w:rsidR="00BB4EF8" w:rsidRDefault="00BB4EF8" w:rsidP="00A10547">
      <w:pPr>
        <w:jc w:val="both"/>
        <w:rPr>
          <w:rFonts w:ascii="Rockwell" w:hAnsi="Rockwell"/>
          <w:b/>
          <w:bCs/>
          <w:sz w:val="22"/>
          <w:szCs w:val="22"/>
        </w:rPr>
      </w:pPr>
    </w:p>
    <w:tbl>
      <w:tblPr>
        <w:tblW w:w="0" w:type="auto"/>
        <w:tblLook w:val="01E0" w:firstRow="1" w:lastRow="1" w:firstColumn="1" w:lastColumn="1" w:noHBand="0" w:noVBand="0"/>
      </w:tblPr>
      <w:tblGrid>
        <w:gridCol w:w="4261"/>
        <w:gridCol w:w="4261"/>
      </w:tblGrid>
      <w:tr w:rsidR="00BB4EF8" w:rsidRPr="00554FE9" w14:paraId="766DE062" w14:textId="77777777" w:rsidTr="00BB4EF8">
        <w:tc>
          <w:tcPr>
            <w:tcW w:w="4261" w:type="dxa"/>
            <w:shd w:val="clear" w:color="auto" w:fill="000000"/>
          </w:tcPr>
          <w:p w14:paraId="16FC741E" w14:textId="77777777" w:rsidR="00BB4EF8" w:rsidRPr="00554FE9" w:rsidRDefault="00BB4EF8" w:rsidP="00A10547">
            <w:pPr>
              <w:tabs>
                <w:tab w:val="left" w:pos="2775"/>
                <w:tab w:val="left" w:pos="3300"/>
              </w:tabs>
              <w:jc w:val="both"/>
              <w:rPr>
                <w:rFonts w:ascii="Rockwell" w:hAnsi="Rockwell"/>
                <w:b/>
                <w:bCs/>
              </w:rPr>
            </w:pPr>
            <w:r w:rsidRPr="00554FE9">
              <w:rPr>
                <w:rFonts w:ascii="Rockwell" w:hAnsi="Rockwell"/>
                <w:b/>
                <w:bCs/>
              </w:rPr>
              <w:t>DEFINITIONS:</w:t>
            </w:r>
            <w:r w:rsidRPr="00554FE9">
              <w:rPr>
                <w:rFonts w:ascii="Rockwell" w:hAnsi="Rockwell"/>
                <w:b/>
                <w:bCs/>
              </w:rPr>
              <w:tab/>
            </w:r>
            <w:r w:rsidRPr="00554FE9">
              <w:rPr>
                <w:rFonts w:ascii="Rockwell" w:hAnsi="Rockwell"/>
                <w:b/>
                <w:bCs/>
              </w:rPr>
              <w:tab/>
            </w:r>
          </w:p>
        </w:tc>
        <w:tc>
          <w:tcPr>
            <w:tcW w:w="4261" w:type="dxa"/>
            <w:shd w:val="clear" w:color="auto" w:fill="D9D9D9"/>
          </w:tcPr>
          <w:p w14:paraId="6DFF4E5B" w14:textId="77777777" w:rsidR="00BB4EF8" w:rsidRPr="00554FE9" w:rsidRDefault="00BB4EF8" w:rsidP="00A10547">
            <w:pPr>
              <w:ind w:firstLine="720"/>
              <w:jc w:val="both"/>
              <w:rPr>
                <w:rFonts w:ascii="Rockwell" w:hAnsi="Rockwell"/>
                <w:b/>
                <w:bCs/>
                <w:sz w:val="22"/>
                <w:szCs w:val="22"/>
              </w:rPr>
            </w:pPr>
          </w:p>
        </w:tc>
      </w:tr>
    </w:tbl>
    <w:p w14:paraId="7045FC05" w14:textId="77777777" w:rsidR="00BB4EF8" w:rsidRDefault="00BB4EF8" w:rsidP="00A10547">
      <w:pPr>
        <w:jc w:val="both"/>
        <w:rPr>
          <w:rFonts w:ascii="Rockwell" w:hAnsi="Rockwell"/>
          <w:b/>
          <w:bCs/>
          <w:sz w:val="22"/>
          <w:szCs w:val="22"/>
        </w:rPr>
      </w:pPr>
    </w:p>
    <w:p w14:paraId="47E245B9" w14:textId="77777777" w:rsidR="00185347" w:rsidRDefault="00BB4EF8" w:rsidP="00A10547">
      <w:pPr>
        <w:jc w:val="both"/>
        <w:rPr>
          <w:rFonts w:ascii="Rockwell" w:hAnsi="Rockwell"/>
          <w:sz w:val="22"/>
          <w:szCs w:val="22"/>
        </w:rPr>
      </w:pPr>
      <w:r w:rsidRPr="00D61613">
        <w:rPr>
          <w:rFonts w:ascii="Rockwell" w:hAnsi="Rockwell"/>
          <w:b/>
          <w:bCs/>
          <w:sz w:val="22"/>
          <w:szCs w:val="22"/>
        </w:rPr>
        <w:t>Cheating</w:t>
      </w:r>
      <w:r w:rsidRPr="00D61613">
        <w:rPr>
          <w:rFonts w:ascii="Rockwell" w:hAnsi="Rockwell"/>
          <w:sz w:val="22"/>
          <w:szCs w:val="22"/>
        </w:rPr>
        <w:t xml:space="preserve"> is defined as any attempt to gain unfair advantage in an assessment by dishonest means</w:t>
      </w:r>
      <w:r w:rsidR="00185347">
        <w:rPr>
          <w:rFonts w:ascii="Rockwell" w:hAnsi="Rockwell"/>
          <w:sz w:val="22"/>
          <w:szCs w:val="22"/>
        </w:rPr>
        <w:t>. Examples include (but are not limited to):</w:t>
      </w:r>
    </w:p>
    <w:p w14:paraId="0998D571" w14:textId="77777777" w:rsidR="005D582D" w:rsidRDefault="005D582D" w:rsidP="00A10547">
      <w:pPr>
        <w:jc w:val="both"/>
        <w:rPr>
          <w:rFonts w:ascii="Rockwell" w:hAnsi="Rockwell"/>
          <w:sz w:val="22"/>
          <w:szCs w:val="22"/>
        </w:rPr>
      </w:pPr>
    </w:p>
    <w:p w14:paraId="20663F33" w14:textId="77777777" w:rsidR="00685B56" w:rsidRPr="005D582D" w:rsidRDefault="00685B56" w:rsidP="00685B56">
      <w:pPr>
        <w:pStyle w:val="NoSpacing"/>
        <w:numPr>
          <w:ilvl w:val="0"/>
          <w:numId w:val="31"/>
        </w:numPr>
        <w:jc w:val="both"/>
        <w:rPr>
          <w:rFonts w:ascii="Rockwell" w:hAnsi="Rockwell"/>
        </w:rPr>
      </w:pPr>
      <w:r w:rsidRPr="005D582D">
        <w:rPr>
          <w:rFonts w:ascii="Rockwell" w:hAnsi="Rockwell"/>
        </w:rPr>
        <w:t>Being in possession of “crib notes” during an examination</w:t>
      </w:r>
    </w:p>
    <w:p w14:paraId="0D934D70" w14:textId="77777777" w:rsidR="00685B56" w:rsidRPr="005D582D" w:rsidRDefault="00685B56" w:rsidP="00685B56">
      <w:pPr>
        <w:pStyle w:val="NoSpacing"/>
        <w:numPr>
          <w:ilvl w:val="0"/>
          <w:numId w:val="31"/>
        </w:numPr>
        <w:jc w:val="both"/>
        <w:rPr>
          <w:rFonts w:ascii="Rockwell" w:hAnsi="Rockwell"/>
        </w:rPr>
      </w:pPr>
      <w:r w:rsidRPr="005D582D">
        <w:rPr>
          <w:rFonts w:ascii="Rockwell" w:hAnsi="Rockwell"/>
        </w:rPr>
        <w:t xml:space="preserve">Breach of examination regulations </w:t>
      </w:r>
    </w:p>
    <w:p w14:paraId="670E8738" w14:textId="77777777" w:rsidR="00685B56" w:rsidRPr="005D582D" w:rsidRDefault="00685B56" w:rsidP="00685B56">
      <w:pPr>
        <w:pStyle w:val="NoSpacing"/>
        <w:numPr>
          <w:ilvl w:val="0"/>
          <w:numId w:val="31"/>
        </w:numPr>
        <w:jc w:val="both"/>
        <w:rPr>
          <w:rFonts w:ascii="Rockwell" w:hAnsi="Rockwell"/>
        </w:rPr>
      </w:pPr>
      <w:r w:rsidRPr="005D582D">
        <w:rPr>
          <w:rFonts w:ascii="Rockwell" w:hAnsi="Rockwell"/>
        </w:rPr>
        <w:t xml:space="preserve">Copying from the work of another student </w:t>
      </w:r>
    </w:p>
    <w:p w14:paraId="33665EC3" w14:textId="77777777" w:rsidR="00685B56" w:rsidRPr="005D582D" w:rsidRDefault="00685B56" w:rsidP="00685B56">
      <w:pPr>
        <w:pStyle w:val="NoSpacing"/>
        <w:numPr>
          <w:ilvl w:val="0"/>
          <w:numId w:val="31"/>
        </w:numPr>
        <w:jc w:val="both"/>
        <w:rPr>
          <w:rFonts w:ascii="Rockwell" w:hAnsi="Rockwell"/>
        </w:rPr>
      </w:pPr>
      <w:r w:rsidRPr="005D582D">
        <w:rPr>
          <w:rFonts w:ascii="Rockwell" w:hAnsi="Rockwell"/>
        </w:rPr>
        <w:t>Stealing another student’s work</w:t>
      </w:r>
    </w:p>
    <w:p w14:paraId="794E3C7F" w14:textId="77777777" w:rsidR="00685B56" w:rsidRPr="005D582D" w:rsidRDefault="00685B56" w:rsidP="00685B56">
      <w:pPr>
        <w:pStyle w:val="NoSpacing"/>
        <w:numPr>
          <w:ilvl w:val="0"/>
          <w:numId w:val="31"/>
        </w:numPr>
        <w:jc w:val="both"/>
        <w:rPr>
          <w:rFonts w:ascii="Rockwell" w:hAnsi="Rockwell"/>
        </w:rPr>
      </w:pPr>
      <w:r w:rsidRPr="005D582D">
        <w:rPr>
          <w:rFonts w:ascii="Rockwell" w:hAnsi="Rockwell"/>
        </w:rPr>
        <w:t xml:space="preserve">Prohibited communication during an examination </w:t>
      </w:r>
    </w:p>
    <w:p w14:paraId="4973D649" w14:textId="77777777" w:rsidR="00685B56" w:rsidRPr="005D582D" w:rsidRDefault="00685B56" w:rsidP="00685B56">
      <w:pPr>
        <w:pStyle w:val="NoSpacing"/>
        <w:numPr>
          <w:ilvl w:val="0"/>
          <w:numId w:val="31"/>
        </w:numPr>
        <w:jc w:val="both"/>
        <w:rPr>
          <w:rFonts w:ascii="Rockwell" w:hAnsi="Rockwell"/>
        </w:rPr>
      </w:pPr>
      <w:r w:rsidRPr="005D582D">
        <w:rPr>
          <w:rFonts w:ascii="Rockwell" w:hAnsi="Rockwell"/>
        </w:rPr>
        <w:t xml:space="preserve">Unauthorised use of electronic devices </w:t>
      </w:r>
    </w:p>
    <w:p w14:paraId="7BF09BFD" w14:textId="77777777" w:rsidR="00685B56" w:rsidRPr="005D582D" w:rsidRDefault="00685B56" w:rsidP="00685B56">
      <w:pPr>
        <w:pStyle w:val="NoSpacing"/>
        <w:numPr>
          <w:ilvl w:val="0"/>
          <w:numId w:val="31"/>
        </w:numPr>
        <w:jc w:val="both"/>
        <w:rPr>
          <w:rFonts w:ascii="Rockwell" w:hAnsi="Rockwell"/>
        </w:rPr>
      </w:pPr>
      <w:r w:rsidRPr="005D582D">
        <w:rPr>
          <w:rFonts w:ascii="Rockwell" w:hAnsi="Rockwell"/>
        </w:rPr>
        <w:t>Submitting essays downloaded from the internet</w:t>
      </w:r>
    </w:p>
    <w:p w14:paraId="589D2136" w14:textId="77777777" w:rsidR="00685B56" w:rsidRPr="005D582D" w:rsidRDefault="00685B56" w:rsidP="00685B56">
      <w:pPr>
        <w:pStyle w:val="NoSpacing"/>
        <w:numPr>
          <w:ilvl w:val="0"/>
          <w:numId w:val="31"/>
        </w:numPr>
        <w:jc w:val="both"/>
        <w:rPr>
          <w:rFonts w:ascii="Rockwell" w:hAnsi="Rockwell"/>
        </w:rPr>
      </w:pPr>
      <w:r w:rsidRPr="005D582D">
        <w:rPr>
          <w:rFonts w:ascii="Rockwell" w:hAnsi="Rockwell"/>
        </w:rPr>
        <w:t>Commissioning of an assessment from a third party</w:t>
      </w:r>
    </w:p>
    <w:p w14:paraId="1F0FE877" w14:textId="77777777" w:rsidR="00685B56" w:rsidRPr="005D582D" w:rsidRDefault="00685B56" w:rsidP="00685B56">
      <w:pPr>
        <w:pStyle w:val="NoSpacing"/>
        <w:numPr>
          <w:ilvl w:val="0"/>
          <w:numId w:val="31"/>
        </w:numPr>
        <w:jc w:val="both"/>
        <w:rPr>
          <w:rFonts w:ascii="Rockwell" w:hAnsi="Rockwell"/>
        </w:rPr>
      </w:pPr>
      <w:r w:rsidRPr="005D582D">
        <w:rPr>
          <w:rFonts w:ascii="Rockwell" w:hAnsi="Rockwell"/>
        </w:rPr>
        <w:t xml:space="preserve">Impersonation of another student </w:t>
      </w:r>
    </w:p>
    <w:p w14:paraId="5D27248E" w14:textId="77777777" w:rsidR="00BB4EF8" w:rsidRPr="00D61613" w:rsidRDefault="00BB4EF8" w:rsidP="00A10547">
      <w:pPr>
        <w:jc w:val="both"/>
        <w:rPr>
          <w:rFonts w:ascii="Rockwell" w:hAnsi="Rockwell"/>
          <w:sz w:val="22"/>
          <w:szCs w:val="22"/>
        </w:rPr>
      </w:pPr>
    </w:p>
    <w:p w14:paraId="41B247A2" w14:textId="77777777" w:rsidR="00BB4EF8" w:rsidRDefault="00BB4EF8" w:rsidP="00A10547">
      <w:pPr>
        <w:pStyle w:val="BodyText"/>
        <w:jc w:val="both"/>
        <w:rPr>
          <w:rFonts w:ascii="Rockwell" w:hAnsi="Rockwell"/>
          <w:sz w:val="22"/>
          <w:szCs w:val="22"/>
        </w:rPr>
      </w:pPr>
      <w:r w:rsidRPr="00D61613">
        <w:rPr>
          <w:rFonts w:ascii="Rockwell" w:hAnsi="Rockwell"/>
          <w:b/>
          <w:bCs/>
          <w:sz w:val="22"/>
          <w:szCs w:val="22"/>
        </w:rPr>
        <w:t>Plagiarism</w:t>
      </w:r>
      <w:r w:rsidRPr="00D61613">
        <w:rPr>
          <w:rFonts w:ascii="Rockwell" w:hAnsi="Rockwell"/>
          <w:sz w:val="22"/>
          <w:szCs w:val="22"/>
        </w:rPr>
        <w:t xml:space="preserve"> is the act of taking someone else’s work and passing it off as your own.  This includes incorporating either unattributed direct quotation(s) or substantial paraphrasing </w:t>
      </w:r>
      <w:r>
        <w:rPr>
          <w:rFonts w:ascii="Rockwell" w:hAnsi="Rockwell"/>
          <w:sz w:val="22"/>
          <w:szCs w:val="22"/>
        </w:rPr>
        <w:t>from the work of another/others/or yourself.</w:t>
      </w:r>
      <w:r w:rsidRPr="00D61613">
        <w:rPr>
          <w:rFonts w:ascii="Rockwell" w:hAnsi="Rockwell"/>
          <w:sz w:val="22"/>
          <w:szCs w:val="22"/>
        </w:rPr>
        <w:t xml:space="preserve"> </w:t>
      </w:r>
    </w:p>
    <w:p w14:paraId="6F72E8D7" w14:textId="6EE03731" w:rsidR="00BB4EF8" w:rsidRPr="00D61613" w:rsidRDefault="00BB4EF8" w:rsidP="00A10547">
      <w:pPr>
        <w:pStyle w:val="BodyText"/>
        <w:jc w:val="both"/>
        <w:rPr>
          <w:rFonts w:ascii="Rockwell" w:hAnsi="Rockwell"/>
          <w:sz w:val="22"/>
          <w:szCs w:val="22"/>
        </w:rPr>
      </w:pPr>
      <w:r w:rsidRPr="00D61613">
        <w:rPr>
          <w:rFonts w:ascii="Rockwell" w:hAnsi="Rockwell"/>
          <w:i/>
          <w:iCs/>
          <w:sz w:val="22"/>
          <w:szCs w:val="22"/>
        </w:rPr>
        <w:t>It is important to cite all sources whose work has been drawn on and reference them fully in accordance with the</w:t>
      </w:r>
      <w:r w:rsidR="00160CF6">
        <w:rPr>
          <w:rFonts w:ascii="Rockwell" w:hAnsi="Rockwell"/>
          <w:i/>
          <w:iCs/>
          <w:sz w:val="22"/>
          <w:szCs w:val="22"/>
        </w:rPr>
        <w:t xml:space="preserve"> required</w:t>
      </w:r>
      <w:r w:rsidRPr="00D61613">
        <w:rPr>
          <w:rFonts w:ascii="Rockwell" w:hAnsi="Rockwell"/>
          <w:i/>
          <w:iCs/>
          <w:sz w:val="22"/>
          <w:szCs w:val="22"/>
        </w:rPr>
        <w:t xml:space="preserve"> referencing standard used in each </w:t>
      </w:r>
      <w:r w:rsidR="00160CF6">
        <w:rPr>
          <w:rFonts w:ascii="Rockwell" w:hAnsi="Rockwell"/>
          <w:i/>
          <w:iCs/>
          <w:sz w:val="22"/>
          <w:szCs w:val="22"/>
        </w:rPr>
        <w:t>subject area</w:t>
      </w:r>
      <w:r w:rsidRPr="00D61613">
        <w:rPr>
          <w:rFonts w:ascii="Rockwell" w:hAnsi="Rockwell"/>
          <w:i/>
          <w:iCs/>
          <w:sz w:val="22"/>
          <w:szCs w:val="22"/>
        </w:rPr>
        <w:t>.</w:t>
      </w:r>
    </w:p>
    <w:p w14:paraId="265B7BE4" w14:textId="77777777" w:rsidR="00BB4EF8" w:rsidRPr="00F33E3D" w:rsidRDefault="00BB4EF8" w:rsidP="00A10547">
      <w:pPr>
        <w:ind w:left="360"/>
        <w:jc w:val="both"/>
        <w:rPr>
          <w:rFonts w:ascii="Rockwell" w:hAnsi="Rockwell"/>
          <w:iCs/>
          <w:sz w:val="22"/>
          <w:szCs w:val="22"/>
        </w:rPr>
      </w:pPr>
    </w:p>
    <w:p w14:paraId="1EAC9001" w14:textId="77777777" w:rsidR="00BB4EF8" w:rsidRDefault="00BB4EF8" w:rsidP="00A10547">
      <w:pPr>
        <w:jc w:val="both"/>
        <w:rPr>
          <w:rFonts w:ascii="Rockwell" w:hAnsi="Rockwell"/>
          <w:sz w:val="22"/>
          <w:szCs w:val="22"/>
        </w:rPr>
      </w:pPr>
      <w:r w:rsidRPr="00F33E3D">
        <w:rPr>
          <w:rFonts w:ascii="Rockwell" w:hAnsi="Rockwell"/>
          <w:b/>
          <w:bCs/>
          <w:sz w:val="22"/>
          <w:szCs w:val="22"/>
        </w:rPr>
        <w:t>Collusion</w:t>
      </w:r>
      <w:r w:rsidRPr="00F33E3D">
        <w:rPr>
          <w:rFonts w:ascii="Rockwell" w:hAnsi="Rockwell"/>
          <w:sz w:val="22"/>
          <w:szCs w:val="22"/>
        </w:rPr>
        <w:t xml:space="preserve"> is when two or more people combine to produce a piece of work for assessment that is passed off as the work of one student alone.  The work may be so alike in content, wording and structure that the similarity goes beyond what might have been coincidence.  For example – where one student has copied the work of another, or where a joint effort has taken place in producing what should have been an individual effort. </w:t>
      </w:r>
    </w:p>
    <w:p w14:paraId="5D1D365A" w14:textId="77777777" w:rsidR="00BB4EF8" w:rsidRPr="00741094" w:rsidRDefault="00BB4EF8" w:rsidP="00A10547">
      <w:pPr>
        <w:jc w:val="both"/>
        <w:rPr>
          <w:rFonts w:ascii="Rockwell" w:hAnsi="Rockwell"/>
          <w:b/>
        </w:rPr>
      </w:pPr>
    </w:p>
    <w:tbl>
      <w:tblPr>
        <w:tblW w:w="0" w:type="auto"/>
        <w:tblLook w:val="01E0" w:firstRow="1" w:lastRow="1" w:firstColumn="1" w:lastColumn="1" w:noHBand="0" w:noVBand="0"/>
      </w:tblPr>
      <w:tblGrid>
        <w:gridCol w:w="4261"/>
        <w:gridCol w:w="4261"/>
      </w:tblGrid>
      <w:tr w:rsidR="00BB4EF8" w:rsidRPr="00554FE9" w14:paraId="276C56AA" w14:textId="77777777" w:rsidTr="00BB4EF8">
        <w:tc>
          <w:tcPr>
            <w:tcW w:w="4261" w:type="dxa"/>
            <w:shd w:val="clear" w:color="auto" w:fill="000000"/>
          </w:tcPr>
          <w:p w14:paraId="44BAF92E" w14:textId="77777777" w:rsidR="00BB4EF8" w:rsidRPr="00554FE9" w:rsidRDefault="00BB4EF8" w:rsidP="00A10547">
            <w:pPr>
              <w:tabs>
                <w:tab w:val="left" w:pos="2775"/>
                <w:tab w:val="left" w:pos="3300"/>
              </w:tabs>
              <w:jc w:val="both"/>
              <w:rPr>
                <w:rFonts w:ascii="Rockwell" w:hAnsi="Rockwell"/>
                <w:b/>
                <w:bCs/>
              </w:rPr>
            </w:pPr>
            <w:r w:rsidRPr="00554FE9">
              <w:rPr>
                <w:rFonts w:ascii="Rockwell" w:hAnsi="Rockwell"/>
                <w:b/>
                <w:bCs/>
              </w:rPr>
              <w:t>DETECTION:</w:t>
            </w:r>
            <w:r w:rsidRPr="00554FE9">
              <w:rPr>
                <w:rFonts w:ascii="Rockwell" w:hAnsi="Rockwell"/>
                <w:b/>
                <w:bCs/>
              </w:rPr>
              <w:tab/>
            </w:r>
            <w:r w:rsidRPr="00554FE9">
              <w:rPr>
                <w:rFonts w:ascii="Rockwell" w:hAnsi="Rockwell"/>
                <w:b/>
                <w:bCs/>
              </w:rPr>
              <w:tab/>
            </w:r>
          </w:p>
        </w:tc>
        <w:tc>
          <w:tcPr>
            <w:tcW w:w="4261" w:type="dxa"/>
            <w:shd w:val="clear" w:color="auto" w:fill="D9D9D9"/>
          </w:tcPr>
          <w:p w14:paraId="53F6356C" w14:textId="77777777" w:rsidR="00BB4EF8" w:rsidRPr="00554FE9" w:rsidRDefault="00BB4EF8" w:rsidP="00A10547">
            <w:pPr>
              <w:jc w:val="both"/>
              <w:rPr>
                <w:rFonts w:ascii="Rockwell" w:hAnsi="Rockwell"/>
                <w:b/>
              </w:rPr>
            </w:pPr>
            <w:r w:rsidRPr="00554FE9">
              <w:rPr>
                <w:rFonts w:ascii="Rockwell" w:hAnsi="Rockwell"/>
                <w:b/>
              </w:rPr>
              <w:t>Instructions for Staff</w:t>
            </w:r>
          </w:p>
        </w:tc>
      </w:tr>
    </w:tbl>
    <w:p w14:paraId="024576DA" w14:textId="77777777" w:rsidR="00BB4EF8" w:rsidRPr="00741094" w:rsidRDefault="00BB4EF8" w:rsidP="00A10547">
      <w:pPr>
        <w:jc w:val="both"/>
        <w:rPr>
          <w:rFonts w:ascii="Rockwell" w:hAnsi="Rockwell"/>
        </w:rPr>
      </w:pPr>
    </w:p>
    <w:p w14:paraId="3DED3A6C" w14:textId="77777777" w:rsidR="00BB4EF8" w:rsidRPr="00D61613" w:rsidRDefault="00BB4EF8" w:rsidP="00A10547">
      <w:pPr>
        <w:jc w:val="both"/>
        <w:rPr>
          <w:rFonts w:ascii="Rockwell" w:hAnsi="Rockwell"/>
          <w:sz w:val="22"/>
          <w:szCs w:val="22"/>
        </w:rPr>
      </w:pPr>
      <w:r w:rsidRPr="00D61613">
        <w:rPr>
          <w:rFonts w:ascii="Rockwell" w:hAnsi="Rockwell"/>
          <w:sz w:val="22"/>
          <w:szCs w:val="22"/>
        </w:rPr>
        <w:t>When a member of academic staff believes that there is a potential case of academic misconduct the following action will be taken.</w:t>
      </w:r>
    </w:p>
    <w:p w14:paraId="50E7280A" w14:textId="77777777" w:rsidR="00BB4EF8" w:rsidRPr="00D61613" w:rsidRDefault="00BB4EF8" w:rsidP="00A10547">
      <w:pPr>
        <w:jc w:val="both"/>
        <w:rPr>
          <w:rFonts w:ascii="Rockwell" w:hAnsi="Rockwell"/>
          <w:sz w:val="22"/>
          <w:szCs w:val="22"/>
        </w:rPr>
      </w:pPr>
    </w:p>
    <w:p w14:paraId="4EF7DA34" w14:textId="77777777" w:rsidR="00BB4EF8" w:rsidRPr="00A10547" w:rsidRDefault="00BB4EF8" w:rsidP="00A10547">
      <w:pPr>
        <w:jc w:val="both"/>
        <w:rPr>
          <w:rFonts w:ascii="Rockwell" w:hAnsi="Rockwell"/>
          <w:b/>
          <w:sz w:val="22"/>
          <w:szCs w:val="22"/>
          <w:u w:val="single"/>
        </w:rPr>
      </w:pPr>
      <w:r w:rsidRPr="00A10547">
        <w:rPr>
          <w:rFonts w:ascii="Rockwell" w:hAnsi="Rockwell"/>
          <w:b/>
          <w:sz w:val="22"/>
          <w:szCs w:val="22"/>
          <w:u w:val="single"/>
        </w:rPr>
        <w:t>Collusion</w:t>
      </w:r>
    </w:p>
    <w:p w14:paraId="157ADD2D" w14:textId="2172E71A" w:rsidR="00185347" w:rsidRPr="00D61613" w:rsidRDefault="00BB4EF8" w:rsidP="00A10547">
      <w:pPr>
        <w:jc w:val="both"/>
        <w:rPr>
          <w:rFonts w:ascii="Rockwell" w:hAnsi="Rockwell"/>
          <w:sz w:val="22"/>
          <w:szCs w:val="22"/>
        </w:rPr>
      </w:pPr>
      <w:r w:rsidRPr="00D61613">
        <w:rPr>
          <w:rFonts w:ascii="Rockwell" w:hAnsi="Rockwell"/>
          <w:sz w:val="22"/>
          <w:szCs w:val="22"/>
        </w:rPr>
        <w:t>The assignments which exhibit similarity will be passed to</w:t>
      </w:r>
      <w:r w:rsidR="00185347">
        <w:rPr>
          <w:rFonts w:ascii="Rockwell" w:hAnsi="Rockwell"/>
          <w:sz w:val="22"/>
          <w:szCs w:val="22"/>
        </w:rPr>
        <w:t xml:space="preserve"> </w:t>
      </w:r>
      <w:r w:rsidR="00160CF6">
        <w:rPr>
          <w:rFonts w:ascii="Rockwell" w:hAnsi="Rockwell"/>
          <w:sz w:val="22"/>
          <w:szCs w:val="22"/>
        </w:rPr>
        <w:t xml:space="preserve">the </w:t>
      </w:r>
      <w:r w:rsidR="00185347">
        <w:rPr>
          <w:rFonts w:ascii="Rockwell" w:hAnsi="Rockwell"/>
          <w:sz w:val="22"/>
          <w:szCs w:val="22"/>
        </w:rPr>
        <w:t>relevant Faculty Administrator</w:t>
      </w:r>
      <w:r w:rsidRPr="00D61613">
        <w:rPr>
          <w:rFonts w:ascii="Rockwell" w:hAnsi="Rockwell"/>
          <w:sz w:val="22"/>
          <w:szCs w:val="22"/>
        </w:rPr>
        <w:t xml:space="preserve">.  The assignments </w:t>
      </w:r>
      <w:r w:rsidR="00185347">
        <w:rPr>
          <w:rFonts w:ascii="Rockwell" w:hAnsi="Rockwell"/>
          <w:sz w:val="22"/>
          <w:szCs w:val="22"/>
        </w:rPr>
        <w:t xml:space="preserve">must </w:t>
      </w:r>
      <w:r w:rsidRPr="00D61613">
        <w:rPr>
          <w:rFonts w:ascii="Rockwell" w:hAnsi="Rockwell"/>
          <w:sz w:val="22"/>
          <w:szCs w:val="22"/>
        </w:rPr>
        <w:t>be accompanied</w:t>
      </w:r>
      <w:r w:rsidR="00185347">
        <w:rPr>
          <w:rFonts w:ascii="Rockwell" w:hAnsi="Rockwell"/>
          <w:sz w:val="22"/>
          <w:szCs w:val="22"/>
        </w:rPr>
        <w:t xml:space="preserve"> by a Faculty Academic Misconduct Front Sheet</w:t>
      </w:r>
      <w:r w:rsidRPr="00D61613">
        <w:rPr>
          <w:rFonts w:ascii="Rockwell" w:hAnsi="Rockwell"/>
          <w:sz w:val="22"/>
          <w:szCs w:val="22"/>
        </w:rPr>
        <w:t xml:space="preserve"> </w:t>
      </w:r>
      <w:r w:rsidR="00185347">
        <w:rPr>
          <w:rFonts w:ascii="Rockwell" w:hAnsi="Rockwell"/>
          <w:sz w:val="22"/>
          <w:szCs w:val="22"/>
        </w:rPr>
        <w:t>detailing</w:t>
      </w:r>
      <w:r w:rsidRPr="00D61613">
        <w:rPr>
          <w:rFonts w:ascii="Rockwell" w:hAnsi="Rockwell"/>
          <w:sz w:val="22"/>
          <w:szCs w:val="22"/>
        </w:rPr>
        <w:t xml:space="preserve"> </w:t>
      </w:r>
      <w:r w:rsidR="00185347">
        <w:rPr>
          <w:rFonts w:ascii="Rockwell" w:hAnsi="Rockwell"/>
          <w:sz w:val="22"/>
          <w:szCs w:val="22"/>
        </w:rPr>
        <w:t>the</w:t>
      </w:r>
      <w:r w:rsidR="00185347" w:rsidRPr="00D61613">
        <w:rPr>
          <w:rFonts w:ascii="Rockwell" w:hAnsi="Rockwell"/>
          <w:sz w:val="22"/>
          <w:szCs w:val="22"/>
        </w:rPr>
        <w:t xml:space="preserve"> </w:t>
      </w:r>
      <w:r w:rsidRPr="00D61613">
        <w:rPr>
          <w:rFonts w:ascii="Rockwell" w:hAnsi="Rockwell"/>
          <w:sz w:val="22"/>
          <w:szCs w:val="22"/>
        </w:rPr>
        <w:t xml:space="preserve">concerns </w:t>
      </w:r>
      <w:r w:rsidR="00185347">
        <w:rPr>
          <w:rFonts w:ascii="Rockwell" w:hAnsi="Rockwell"/>
          <w:sz w:val="22"/>
          <w:szCs w:val="22"/>
        </w:rPr>
        <w:t>regarding</w:t>
      </w:r>
      <w:r w:rsidR="00185347" w:rsidRPr="00D61613">
        <w:rPr>
          <w:rFonts w:ascii="Rockwell" w:hAnsi="Rockwell"/>
          <w:sz w:val="22"/>
          <w:szCs w:val="22"/>
        </w:rPr>
        <w:t xml:space="preserve"> </w:t>
      </w:r>
      <w:r w:rsidRPr="00D61613">
        <w:rPr>
          <w:rFonts w:ascii="Rockwell" w:hAnsi="Rockwell"/>
          <w:sz w:val="22"/>
          <w:szCs w:val="22"/>
        </w:rPr>
        <w:t>the work</w:t>
      </w:r>
      <w:r w:rsidR="00185347">
        <w:rPr>
          <w:rFonts w:ascii="Rockwell" w:hAnsi="Rockwell"/>
          <w:sz w:val="22"/>
          <w:szCs w:val="22"/>
        </w:rPr>
        <w:t xml:space="preserve"> and a report</w:t>
      </w:r>
      <w:r w:rsidR="008C3978">
        <w:rPr>
          <w:rFonts w:ascii="Rockwell" w:hAnsi="Rockwell"/>
          <w:sz w:val="22"/>
          <w:szCs w:val="22"/>
        </w:rPr>
        <w:t xml:space="preserve"> from </w:t>
      </w:r>
      <w:r w:rsidR="006E5CE9">
        <w:rPr>
          <w:rFonts w:ascii="Rockwell" w:hAnsi="Rockwell"/>
          <w:sz w:val="22"/>
          <w:szCs w:val="22"/>
        </w:rPr>
        <w:t>text matching</w:t>
      </w:r>
      <w:r w:rsidR="00547585">
        <w:rPr>
          <w:rFonts w:ascii="Rockwell" w:hAnsi="Rockwell"/>
          <w:sz w:val="22"/>
          <w:szCs w:val="22"/>
        </w:rPr>
        <w:t xml:space="preserve"> </w:t>
      </w:r>
      <w:r w:rsidR="008C3978">
        <w:rPr>
          <w:rFonts w:ascii="Rockwell" w:hAnsi="Rockwell"/>
          <w:sz w:val="22"/>
          <w:szCs w:val="22"/>
        </w:rPr>
        <w:t>software</w:t>
      </w:r>
      <w:r w:rsidR="00185347">
        <w:rPr>
          <w:rFonts w:ascii="Rockwell" w:hAnsi="Rockwell"/>
          <w:sz w:val="22"/>
          <w:szCs w:val="22"/>
        </w:rPr>
        <w:t xml:space="preserve"> if this has been generated</w:t>
      </w:r>
      <w:r w:rsidR="00160CF6">
        <w:rPr>
          <w:rFonts w:ascii="Rockwell" w:hAnsi="Rockwell"/>
          <w:sz w:val="22"/>
          <w:szCs w:val="22"/>
        </w:rPr>
        <w:t>.</w:t>
      </w:r>
      <w:r w:rsidR="00742B68">
        <w:rPr>
          <w:rFonts w:ascii="Rockwell" w:hAnsi="Rockwell"/>
          <w:sz w:val="22"/>
          <w:szCs w:val="22"/>
        </w:rPr>
        <w:t xml:space="preserve"> The Faculty Administrator will forward this to the Conduct and Appeals Unit</w:t>
      </w:r>
      <w:r w:rsidR="00160CF6">
        <w:rPr>
          <w:rFonts w:ascii="Rockwell" w:hAnsi="Rockwell"/>
          <w:sz w:val="22"/>
          <w:szCs w:val="22"/>
        </w:rPr>
        <w:t>.</w:t>
      </w:r>
    </w:p>
    <w:p w14:paraId="2583CA7C" w14:textId="77777777" w:rsidR="00BB4EF8" w:rsidRPr="00D61613" w:rsidRDefault="00BB4EF8" w:rsidP="00A10547">
      <w:pPr>
        <w:jc w:val="both"/>
        <w:rPr>
          <w:rFonts w:ascii="Rockwell" w:hAnsi="Rockwell"/>
          <w:sz w:val="22"/>
          <w:szCs w:val="22"/>
        </w:rPr>
      </w:pPr>
    </w:p>
    <w:p w14:paraId="151976B1" w14:textId="77777777" w:rsidR="00BB4EF8" w:rsidRPr="00D61613" w:rsidRDefault="00BB4EF8" w:rsidP="00A10547">
      <w:pPr>
        <w:jc w:val="both"/>
        <w:rPr>
          <w:rFonts w:ascii="Rockwell" w:hAnsi="Rockwell"/>
          <w:sz w:val="22"/>
          <w:szCs w:val="22"/>
        </w:rPr>
      </w:pPr>
      <w:r w:rsidRPr="00D61613">
        <w:rPr>
          <w:rFonts w:ascii="Rockwell" w:hAnsi="Rockwell"/>
          <w:sz w:val="22"/>
          <w:szCs w:val="22"/>
        </w:rPr>
        <w:t xml:space="preserve">In many cases the similarity will be obvious, in that the text will be identical, however there will be occasions </w:t>
      </w:r>
      <w:r w:rsidR="00160CF6">
        <w:rPr>
          <w:rFonts w:ascii="Rockwell" w:hAnsi="Rockwell"/>
          <w:sz w:val="22"/>
          <w:szCs w:val="22"/>
        </w:rPr>
        <w:t>(</w:t>
      </w:r>
      <w:r w:rsidRPr="00D61613">
        <w:rPr>
          <w:rFonts w:ascii="Rockwell" w:hAnsi="Rockwell"/>
          <w:sz w:val="22"/>
          <w:szCs w:val="22"/>
        </w:rPr>
        <w:t>e.g. with scientific or information technology assignments</w:t>
      </w:r>
      <w:r w:rsidR="00160CF6">
        <w:rPr>
          <w:rFonts w:ascii="Rockwell" w:hAnsi="Rockwell"/>
          <w:sz w:val="22"/>
          <w:szCs w:val="22"/>
        </w:rPr>
        <w:t>)</w:t>
      </w:r>
      <w:r w:rsidRPr="00D61613">
        <w:rPr>
          <w:rFonts w:ascii="Rockwell" w:hAnsi="Rockwell"/>
          <w:sz w:val="22"/>
          <w:szCs w:val="22"/>
        </w:rPr>
        <w:t xml:space="preserve"> when additional specialist knowledge will be required by the investigating panel.  </w:t>
      </w:r>
    </w:p>
    <w:p w14:paraId="0CEB341A" w14:textId="77777777" w:rsidR="00BB4EF8" w:rsidRDefault="00BB4EF8" w:rsidP="00A10547">
      <w:pPr>
        <w:jc w:val="both"/>
        <w:rPr>
          <w:rFonts w:ascii="Rockwell" w:hAnsi="Rockwell"/>
          <w:sz w:val="22"/>
          <w:szCs w:val="22"/>
        </w:rPr>
      </w:pPr>
    </w:p>
    <w:p w14:paraId="7F697DC9" w14:textId="77777777" w:rsidR="00BB4EF8" w:rsidRPr="00A10547" w:rsidRDefault="00BB4EF8" w:rsidP="00A10547">
      <w:pPr>
        <w:jc w:val="both"/>
        <w:rPr>
          <w:rFonts w:ascii="Rockwell" w:hAnsi="Rockwell"/>
          <w:b/>
          <w:sz w:val="22"/>
          <w:szCs w:val="22"/>
          <w:u w:val="single"/>
        </w:rPr>
      </w:pPr>
      <w:r w:rsidRPr="00A10547">
        <w:rPr>
          <w:rFonts w:ascii="Rockwell" w:hAnsi="Rockwell"/>
          <w:b/>
          <w:sz w:val="22"/>
          <w:szCs w:val="22"/>
          <w:u w:val="single"/>
        </w:rPr>
        <w:lastRenderedPageBreak/>
        <w:t>Plagiarism</w:t>
      </w:r>
    </w:p>
    <w:p w14:paraId="0D0B9723" w14:textId="5FA46C77" w:rsidR="00742B68" w:rsidRPr="00D61613" w:rsidRDefault="00BB4EF8" w:rsidP="00A10547">
      <w:pPr>
        <w:jc w:val="both"/>
        <w:rPr>
          <w:rFonts w:ascii="Rockwell" w:hAnsi="Rockwell"/>
          <w:sz w:val="22"/>
          <w:szCs w:val="22"/>
        </w:rPr>
      </w:pPr>
      <w:r w:rsidRPr="00D61613">
        <w:rPr>
          <w:rFonts w:ascii="Rockwell" w:hAnsi="Rockwell"/>
          <w:sz w:val="22"/>
          <w:szCs w:val="22"/>
        </w:rPr>
        <w:t xml:space="preserve">The assignment will be passed to the </w:t>
      </w:r>
      <w:r w:rsidR="00185347">
        <w:rPr>
          <w:rFonts w:ascii="Rockwell" w:hAnsi="Rockwell"/>
          <w:sz w:val="22"/>
          <w:szCs w:val="22"/>
        </w:rPr>
        <w:t>relevant Faculty Administrator</w:t>
      </w:r>
      <w:r w:rsidRPr="00D61613">
        <w:rPr>
          <w:rFonts w:ascii="Rockwell" w:hAnsi="Rockwell"/>
          <w:sz w:val="22"/>
          <w:szCs w:val="22"/>
        </w:rPr>
        <w:t xml:space="preserve">.  </w:t>
      </w:r>
      <w:r w:rsidR="00185347">
        <w:rPr>
          <w:rFonts w:ascii="Rockwell" w:hAnsi="Rockwell"/>
          <w:sz w:val="22"/>
          <w:szCs w:val="22"/>
        </w:rPr>
        <w:t xml:space="preserve">The assignment </w:t>
      </w:r>
      <w:r w:rsidRPr="00D61613">
        <w:rPr>
          <w:rFonts w:ascii="Rockwell" w:hAnsi="Rockwell"/>
          <w:sz w:val="22"/>
          <w:szCs w:val="22"/>
        </w:rPr>
        <w:t xml:space="preserve">must be accompanied by </w:t>
      </w:r>
      <w:r w:rsidR="00185347">
        <w:rPr>
          <w:rFonts w:ascii="Rockwell" w:hAnsi="Rockwell"/>
          <w:sz w:val="22"/>
          <w:szCs w:val="22"/>
        </w:rPr>
        <w:t xml:space="preserve">a Faculty Academic Misconduct Front Sheet and </w:t>
      </w:r>
      <w:r w:rsidRPr="00D61613">
        <w:rPr>
          <w:rFonts w:ascii="Rockwell" w:hAnsi="Rockwell"/>
          <w:sz w:val="22"/>
          <w:szCs w:val="22"/>
        </w:rPr>
        <w:t xml:space="preserve">a copy of the identified source material and/or the </w:t>
      </w:r>
      <w:r w:rsidR="008C3978">
        <w:rPr>
          <w:rFonts w:ascii="Rockwell" w:hAnsi="Rockwell"/>
          <w:sz w:val="22"/>
          <w:szCs w:val="22"/>
        </w:rPr>
        <w:t>r</w:t>
      </w:r>
      <w:r w:rsidRPr="00D61613">
        <w:rPr>
          <w:rFonts w:ascii="Rockwell" w:hAnsi="Rockwell"/>
          <w:sz w:val="22"/>
          <w:szCs w:val="22"/>
        </w:rPr>
        <w:t>eport</w:t>
      </w:r>
      <w:r w:rsidR="008C3978">
        <w:rPr>
          <w:rFonts w:ascii="Rockwell" w:hAnsi="Rockwell"/>
          <w:sz w:val="22"/>
          <w:szCs w:val="22"/>
        </w:rPr>
        <w:t xml:space="preserve"> from </w:t>
      </w:r>
      <w:r w:rsidR="006E5CE9">
        <w:rPr>
          <w:rFonts w:ascii="Rockwell" w:hAnsi="Rockwell"/>
          <w:sz w:val="22"/>
          <w:szCs w:val="22"/>
        </w:rPr>
        <w:t xml:space="preserve">text matching </w:t>
      </w:r>
      <w:r w:rsidR="008C3978">
        <w:rPr>
          <w:rFonts w:ascii="Rockwell" w:hAnsi="Rockwell"/>
          <w:sz w:val="22"/>
          <w:szCs w:val="22"/>
        </w:rPr>
        <w:t>software</w:t>
      </w:r>
      <w:r w:rsidRPr="00D61613">
        <w:rPr>
          <w:rFonts w:ascii="Rockwell" w:hAnsi="Rockwell"/>
          <w:sz w:val="22"/>
          <w:szCs w:val="22"/>
        </w:rPr>
        <w:t>.</w:t>
      </w:r>
      <w:r w:rsidR="00742B68" w:rsidRPr="00742B68">
        <w:rPr>
          <w:rFonts w:ascii="Rockwell" w:hAnsi="Rockwell"/>
          <w:sz w:val="22"/>
          <w:szCs w:val="22"/>
        </w:rPr>
        <w:t xml:space="preserve"> </w:t>
      </w:r>
      <w:r w:rsidR="00742B68">
        <w:rPr>
          <w:rFonts w:ascii="Rockwell" w:hAnsi="Rockwell"/>
          <w:sz w:val="22"/>
          <w:szCs w:val="22"/>
        </w:rPr>
        <w:t>The Faculty Administrator will forward this to the Conduct and Appeals Unit</w:t>
      </w:r>
      <w:r w:rsidR="0027771D">
        <w:rPr>
          <w:rFonts w:ascii="Rockwell" w:hAnsi="Rockwell"/>
          <w:sz w:val="22"/>
          <w:szCs w:val="22"/>
        </w:rPr>
        <w:t>.</w:t>
      </w:r>
    </w:p>
    <w:p w14:paraId="10B1CACC" w14:textId="77777777" w:rsidR="00BB4EF8" w:rsidRPr="00D61613" w:rsidRDefault="00BB4EF8" w:rsidP="00A10547">
      <w:pPr>
        <w:jc w:val="both"/>
        <w:rPr>
          <w:rFonts w:ascii="Rockwell" w:hAnsi="Rockwell"/>
          <w:sz w:val="22"/>
          <w:szCs w:val="22"/>
        </w:rPr>
      </w:pPr>
    </w:p>
    <w:p w14:paraId="79AD98D8" w14:textId="77777777" w:rsidR="00BB4EF8" w:rsidRPr="00A10547" w:rsidRDefault="00BB4EF8" w:rsidP="00A10547">
      <w:pPr>
        <w:jc w:val="both"/>
        <w:rPr>
          <w:rFonts w:ascii="Rockwell" w:hAnsi="Rockwell"/>
          <w:b/>
          <w:sz w:val="22"/>
          <w:szCs w:val="22"/>
        </w:rPr>
      </w:pPr>
      <w:r w:rsidRPr="00A10547">
        <w:rPr>
          <w:rFonts w:ascii="Rockwell" w:hAnsi="Rockwell"/>
          <w:b/>
          <w:sz w:val="22"/>
          <w:szCs w:val="22"/>
          <w:u w:val="single"/>
        </w:rPr>
        <w:t>Cheating</w:t>
      </w:r>
    </w:p>
    <w:p w14:paraId="13CD7F12" w14:textId="77777777" w:rsidR="00742B68" w:rsidRPr="00A10547" w:rsidRDefault="00742B68" w:rsidP="00A10547">
      <w:pPr>
        <w:jc w:val="both"/>
        <w:rPr>
          <w:rFonts w:ascii="Rockwell" w:hAnsi="Rockwell"/>
          <w:b/>
          <w:sz w:val="22"/>
          <w:szCs w:val="22"/>
        </w:rPr>
      </w:pPr>
      <w:r w:rsidRPr="00A10547">
        <w:rPr>
          <w:rFonts w:ascii="Rockwell" w:hAnsi="Rockwell"/>
          <w:b/>
          <w:sz w:val="22"/>
          <w:szCs w:val="22"/>
        </w:rPr>
        <w:t>Examinations</w:t>
      </w:r>
    </w:p>
    <w:p w14:paraId="4D909EE5" w14:textId="41E1F93B" w:rsidR="00BB4EF8" w:rsidRDefault="00BB4EF8" w:rsidP="00A10547">
      <w:pPr>
        <w:jc w:val="both"/>
        <w:rPr>
          <w:rFonts w:ascii="Rockwell" w:hAnsi="Rockwell"/>
          <w:sz w:val="22"/>
          <w:szCs w:val="22"/>
        </w:rPr>
      </w:pPr>
      <w:r w:rsidRPr="00D61613">
        <w:rPr>
          <w:rFonts w:ascii="Rockwell" w:hAnsi="Rockwell"/>
          <w:sz w:val="22"/>
          <w:szCs w:val="22"/>
        </w:rPr>
        <w:t xml:space="preserve">The Student Office will submit the original invigilators report and the examination script, with any evidence </w:t>
      </w:r>
      <w:r w:rsidR="00160CF6">
        <w:rPr>
          <w:rFonts w:ascii="Rockwell" w:hAnsi="Rockwell"/>
          <w:sz w:val="22"/>
          <w:szCs w:val="22"/>
        </w:rPr>
        <w:t>(</w:t>
      </w:r>
      <w:r w:rsidRPr="00D61613">
        <w:rPr>
          <w:rFonts w:ascii="Rockwell" w:hAnsi="Rockwell"/>
          <w:sz w:val="22"/>
          <w:szCs w:val="22"/>
        </w:rPr>
        <w:t>e.g. crib notes</w:t>
      </w:r>
      <w:r w:rsidR="00160CF6">
        <w:rPr>
          <w:rFonts w:ascii="Rockwell" w:hAnsi="Rockwell"/>
          <w:sz w:val="22"/>
          <w:szCs w:val="22"/>
        </w:rPr>
        <w:t>)</w:t>
      </w:r>
      <w:r w:rsidRPr="00D61613">
        <w:rPr>
          <w:rFonts w:ascii="Rockwell" w:hAnsi="Rockwell"/>
          <w:sz w:val="22"/>
          <w:szCs w:val="22"/>
        </w:rPr>
        <w:t xml:space="preserve"> to the Conduct and Appeals Unit as soon as possible after the examination has concluded.</w:t>
      </w:r>
    </w:p>
    <w:p w14:paraId="402C8A5D" w14:textId="77777777" w:rsidR="0027771D" w:rsidRDefault="0027771D" w:rsidP="00A10547">
      <w:pPr>
        <w:jc w:val="both"/>
        <w:rPr>
          <w:rFonts w:ascii="Rockwell" w:hAnsi="Rockwell"/>
          <w:sz w:val="22"/>
          <w:szCs w:val="22"/>
        </w:rPr>
      </w:pPr>
    </w:p>
    <w:p w14:paraId="07C4DD18" w14:textId="77777777" w:rsidR="00742B68" w:rsidRPr="00A10547" w:rsidRDefault="00742B68" w:rsidP="00A10547">
      <w:pPr>
        <w:jc w:val="both"/>
        <w:rPr>
          <w:rFonts w:ascii="Rockwell" w:hAnsi="Rockwell"/>
          <w:b/>
          <w:sz w:val="22"/>
          <w:szCs w:val="22"/>
        </w:rPr>
      </w:pPr>
      <w:r w:rsidRPr="00A10547">
        <w:rPr>
          <w:rFonts w:ascii="Rockwell" w:hAnsi="Rockwell"/>
          <w:b/>
          <w:sz w:val="22"/>
          <w:szCs w:val="22"/>
        </w:rPr>
        <w:t>In-class tests</w:t>
      </w:r>
    </w:p>
    <w:p w14:paraId="266283E3" w14:textId="266A1947" w:rsidR="00742B68" w:rsidRDefault="00742B68" w:rsidP="00A10547">
      <w:pPr>
        <w:jc w:val="both"/>
        <w:rPr>
          <w:rFonts w:ascii="Rockwell" w:hAnsi="Rockwell"/>
          <w:sz w:val="22"/>
          <w:szCs w:val="22"/>
        </w:rPr>
      </w:pPr>
      <w:r>
        <w:rPr>
          <w:rFonts w:ascii="Rockwell" w:hAnsi="Rockwell"/>
          <w:sz w:val="22"/>
          <w:szCs w:val="22"/>
        </w:rPr>
        <w:t>T</w:t>
      </w:r>
      <w:r w:rsidR="00BB4EF8" w:rsidRPr="00D61613">
        <w:rPr>
          <w:rFonts w:ascii="Rockwell" w:hAnsi="Rockwell"/>
          <w:sz w:val="22"/>
          <w:szCs w:val="22"/>
        </w:rPr>
        <w:t xml:space="preserve">he supervising staff member must take the evidence to the </w:t>
      </w:r>
      <w:r>
        <w:rPr>
          <w:rFonts w:ascii="Rockwell" w:hAnsi="Rockwell"/>
          <w:sz w:val="22"/>
          <w:szCs w:val="22"/>
        </w:rPr>
        <w:t>relevant Faculty Administrator</w:t>
      </w:r>
      <w:r w:rsidR="00BB4EF8" w:rsidRPr="00D61613">
        <w:rPr>
          <w:rFonts w:ascii="Rockwell" w:hAnsi="Rockwell"/>
          <w:sz w:val="22"/>
          <w:szCs w:val="22"/>
        </w:rPr>
        <w:t>.</w:t>
      </w:r>
      <w:r>
        <w:rPr>
          <w:rFonts w:ascii="Rockwell" w:hAnsi="Rockwell"/>
          <w:sz w:val="22"/>
          <w:szCs w:val="22"/>
        </w:rPr>
        <w:t xml:space="preserve"> The Faculty Administrator will forward this to the Conduct and Appeals Unit</w:t>
      </w:r>
      <w:r w:rsidR="0027771D">
        <w:rPr>
          <w:rFonts w:ascii="Rockwell" w:hAnsi="Rockwell"/>
          <w:sz w:val="22"/>
          <w:szCs w:val="22"/>
        </w:rPr>
        <w:t>.</w:t>
      </w:r>
    </w:p>
    <w:p w14:paraId="2C6A6EB6" w14:textId="77777777" w:rsidR="0027771D" w:rsidRPr="00D61613" w:rsidRDefault="0027771D" w:rsidP="00A10547">
      <w:pPr>
        <w:jc w:val="both"/>
        <w:rPr>
          <w:rFonts w:ascii="Rockwell" w:hAnsi="Rockwell"/>
          <w:sz w:val="22"/>
          <w:szCs w:val="22"/>
        </w:rPr>
      </w:pPr>
    </w:p>
    <w:p w14:paraId="0A260E64" w14:textId="77777777" w:rsidR="00F20617" w:rsidRDefault="00F20617" w:rsidP="00A10547">
      <w:pPr>
        <w:jc w:val="both"/>
        <w:rPr>
          <w:rFonts w:ascii="Rockwell" w:hAnsi="Rockwell"/>
          <w:b/>
          <w:sz w:val="22"/>
          <w:szCs w:val="22"/>
        </w:rPr>
      </w:pPr>
      <w:r>
        <w:rPr>
          <w:rFonts w:ascii="Rockwell" w:hAnsi="Rockwell"/>
          <w:b/>
          <w:sz w:val="22"/>
          <w:szCs w:val="22"/>
        </w:rPr>
        <w:t>Concerns about the authenticity of a student’s work.</w:t>
      </w:r>
    </w:p>
    <w:p w14:paraId="7102D6BC" w14:textId="77777777" w:rsidR="0016174D" w:rsidRDefault="00F20617" w:rsidP="00A10547">
      <w:pPr>
        <w:jc w:val="both"/>
        <w:rPr>
          <w:rFonts w:ascii="Rockwell" w:hAnsi="Rockwell"/>
          <w:sz w:val="22"/>
          <w:szCs w:val="22"/>
        </w:rPr>
      </w:pPr>
      <w:r w:rsidRPr="00F822A9">
        <w:rPr>
          <w:rFonts w:ascii="Rockwell" w:hAnsi="Rockwell"/>
          <w:sz w:val="22"/>
          <w:szCs w:val="22"/>
        </w:rPr>
        <w:t>This may be due to a suspicion that a student has commissioned an</w:t>
      </w:r>
      <w:r w:rsidR="0016174D" w:rsidRPr="00F822A9">
        <w:rPr>
          <w:rFonts w:ascii="Rockwell" w:hAnsi="Rockwell"/>
          <w:sz w:val="22"/>
          <w:szCs w:val="22"/>
        </w:rPr>
        <w:t xml:space="preserve"> assessment from a third party</w:t>
      </w:r>
      <w:r w:rsidRPr="00F822A9">
        <w:rPr>
          <w:rFonts w:ascii="Rockwell" w:hAnsi="Rockwell"/>
          <w:sz w:val="22"/>
          <w:szCs w:val="22"/>
        </w:rPr>
        <w:t>, has used a translation service or has had an unacceptable level of third par</w:t>
      </w:r>
      <w:r w:rsidRPr="00F20617">
        <w:rPr>
          <w:rFonts w:ascii="Rockwell" w:hAnsi="Rockwell"/>
          <w:sz w:val="22"/>
          <w:szCs w:val="22"/>
        </w:rPr>
        <w:t>ty</w:t>
      </w:r>
      <w:r w:rsidRPr="00F822A9">
        <w:rPr>
          <w:rFonts w:ascii="Rockwell" w:hAnsi="Rockwell"/>
          <w:sz w:val="22"/>
          <w:szCs w:val="22"/>
        </w:rPr>
        <w:t xml:space="preserve"> assistance with the work.</w:t>
      </w:r>
    </w:p>
    <w:p w14:paraId="14F4E448" w14:textId="77777777" w:rsidR="00F20617" w:rsidRPr="00F822A9" w:rsidRDefault="00F20617" w:rsidP="00A10547">
      <w:pPr>
        <w:jc w:val="both"/>
        <w:rPr>
          <w:rFonts w:ascii="Rockwell" w:hAnsi="Rockwell"/>
          <w:sz w:val="22"/>
          <w:szCs w:val="22"/>
        </w:rPr>
      </w:pPr>
    </w:p>
    <w:p w14:paraId="11E66CE9" w14:textId="4DD81CAF" w:rsidR="0016174D" w:rsidRDefault="0016174D" w:rsidP="00A10547">
      <w:pPr>
        <w:jc w:val="both"/>
        <w:rPr>
          <w:rFonts w:ascii="Rockwell" w:hAnsi="Rockwell"/>
          <w:sz w:val="22"/>
          <w:szCs w:val="22"/>
        </w:rPr>
      </w:pPr>
      <w:r>
        <w:rPr>
          <w:rFonts w:ascii="Rockwell" w:hAnsi="Rockwell"/>
          <w:sz w:val="22"/>
          <w:szCs w:val="22"/>
        </w:rPr>
        <w:t xml:space="preserve">Where there is doubt about the authenticity of a student’s work the Faculty will invite the student to attend a </w:t>
      </w:r>
      <w:r w:rsidR="00F20617">
        <w:rPr>
          <w:rFonts w:ascii="Rockwell" w:hAnsi="Rockwell"/>
          <w:sz w:val="22"/>
          <w:szCs w:val="22"/>
        </w:rPr>
        <w:t>v</w:t>
      </w:r>
      <w:r>
        <w:rPr>
          <w:rFonts w:ascii="Rockwell" w:hAnsi="Rockwell"/>
          <w:sz w:val="22"/>
          <w:szCs w:val="22"/>
        </w:rPr>
        <w:t>iva.  The purpose of this will be to provide the student with the opportunity to establish</w:t>
      </w:r>
      <w:r w:rsidR="00F20617">
        <w:rPr>
          <w:rFonts w:ascii="Rockwell" w:hAnsi="Rockwell"/>
          <w:sz w:val="22"/>
          <w:szCs w:val="22"/>
        </w:rPr>
        <w:t>,</w:t>
      </w:r>
      <w:r>
        <w:rPr>
          <w:rFonts w:ascii="Rockwell" w:hAnsi="Rockwell"/>
          <w:sz w:val="22"/>
          <w:szCs w:val="22"/>
        </w:rPr>
        <w:t xml:space="preserve"> to the Faculty’s satisfaction</w:t>
      </w:r>
      <w:r w:rsidR="00F20617">
        <w:rPr>
          <w:rFonts w:ascii="Rockwell" w:hAnsi="Rockwell"/>
          <w:sz w:val="22"/>
          <w:szCs w:val="22"/>
        </w:rPr>
        <w:t>,</w:t>
      </w:r>
      <w:r>
        <w:rPr>
          <w:rFonts w:ascii="Rockwell" w:hAnsi="Rockwell"/>
          <w:sz w:val="22"/>
          <w:szCs w:val="22"/>
        </w:rPr>
        <w:t xml:space="preserve"> that the work is their own and that they have met the learning outcomes.  Any such </w:t>
      </w:r>
      <w:r w:rsidR="00F20617">
        <w:rPr>
          <w:rFonts w:ascii="Rockwell" w:hAnsi="Rockwell"/>
          <w:sz w:val="22"/>
          <w:szCs w:val="22"/>
        </w:rPr>
        <w:t>v</w:t>
      </w:r>
      <w:r>
        <w:rPr>
          <w:rFonts w:ascii="Rockwell" w:hAnsi="Rockwell"/>
          <w:sz w:val="22"/>
          <w:szCs w:val="22"/>
        </w:rPr>
        <w:t xml:space="preserve">iva will be held in accordance with the </w:t>
      </w:r>
      <w:r w:rsidR="0027771D">
        <w:rPr>
          <w:rFonts w:ascii="Rockwell" w:hAnsi="Rockwell"/>
          <w:sz w:val="22"/>
          <w:szCs w:val="22"/>
        </w:rPr>
        <w:t>“</w:t>
      </w:r>
      <w:r>
        <w:rPr>
          <w:rFonts w:ascii="Rockwell" w:hAnsi="Rockwell"/>
          <w:sz w:val="22"/>
          <w:szCs w:val="22"/>
        </w:rPr>
        <w:t>Procedure for the</w:t>
      </w:r>
      <w:r w:rsidR="00D47E90">
        <w:rPr>
          <w:rFonts w:ascii="Rockwell" w:hAnsi="Rockwell"/>
          <w:sz w:val="22"/>
          <w:szCs w:val="22"/>
        </w:rPr>
        <w:t xml:space="preserve"> Management</w:t>
      </w:r>
      <w:r>
        <w:rPr>
          <w:rFonts w:ascii="Rockwell" w:hAnsi="Rockwell"/>
          <w:sz w:val="22"/>
          <w:szCs w:val="22"/>
        </w:rPr>
        <w:t xml:space="preserve"> of </w:t>
      </w:r>
      <w:r w:rsidR="0027771D">
        <w:rPr>
          <w:rFonts w:ascii="Rockwell" w:hAnsi="Rockwell"/>
          <w:sz w:val="22"/>
          <w:szCs w:val="22"/>
        </w:rPr>
        <w:t xml:space="preserve">a </w:t>
      </w:r>
      <w:r>
        <w:rPr>
          <w:rFonts w:ascii="Rockwell" w:hAnsi="Rockwell"/>
          <w:sz w:val="22"/>
          <w:szCs w:val="22"/>
        </w:rPr>
        <w:t>Viva</w:t>
      </w:r>
      <w:r w:rsidR="0027771D">
        <w:rPr>
          <w:rFonts w:ascii="Rockwell" w:hAnsi="Rockwell"/>
          <w:sz w:val="22"/>
          <w:szCs w:val="22"/>
        </w:rPr>
        <w:t xml:space="preserve"> </w:t>
      </w:r>
      <w:r>
        <w:rPr>
          <w:rFonts w:ascii="Rockwell" w:hAnsi="Rockwell"/>
          <w:sz w:val="22"/>
          <w:szCs w:val="22"/>
        </w:rPr>
        <w:t xml:space="preserve">in </w:t>
      </w:r>
      <w:r w:rsidR="0027771D">
        <w:rPr>
          <w:rFonts w:ascii="Rockwell" w:hAnsi="Rockwell"/>
          <w:sz w:val="22"/>
          <w:szCs w:val="22"/>
        </w:rPr>
        <w:t>C</w:t>
      </w:r>
      <w:r>
        <w:rPr>
          <w:rFonts w:ascii="Rockwell" w:hAnsi="Rockwell"/>
          <w:sz w:val="22"/>
          <w:szCs w:val="22"/>
        </w:rPr>
        <w:t xml:space="preserve">ases of </w:t>
      </w:r>
      <w:r w:rsidR="0027771D">
        <w:rPr>
          <w:rFonts w:ascii="Rockwell" w:hAnsi="Rockwell"/>
          <w:sz w:val="22"/>
          <w:szCs w:val="22"/>
        </w:rPr>
        <w:t>S</w:t>
      </w:r>
      <w:r>
        <w:rPr>
          <w:rFonts w:ascii="Rockwell" w:hAnsi="Rockwell"/>
          <w:sz w:val="22"/>
          <w:szCs w:val="22"/>
        </w:rPr>
        <w:t>uspected Academic Misconduct</w:t>
      </w:r>
      <w:r w:rsidR="0027771D">
        <w:rPr>
          <w:rFonts w:ascii="Rockwell" w:hAnsi="Rockwell"/>
          <w:sz w:val="22"/>
          <w:szCs w:val="22"/>
        </w:rPr>
        <w:t>”</w:t>
      </w:r>
      <w:r>
        <w:rPr>
          <w:rFonts w:ascii="Rockwell" w:hAnsi="Rockwell"/>
          <w:sz w:val="22"/>
          <w:szCs w:val="22"/>
        </w:rPr>
        <w:t xml:space="preserve"> (available on the Conduct and Appeals Website).  </w:t>
      </w:r>
    </w:p>
    <w:p w14:paraId="4FECD673" w14:textId="77777777" w:rsidR="0016174D" w:rsidRDefault="0016174D" w:rsidP="00A10547">
      <w:pPr>
        <w:jc w:val="both"/>
        <w:rPr>
          <w:rFonts w:ascii="Rockwell" w:hAnsi="Rockwell"/>
          <w:sz w:val="22"/>
          <w:szCs w:val="22"/>
        </w:rPr>
      </w:pPr>
    </w:p>
    <w:p w14:paraId="4BEBCF45" w14:textId="77777777" w:rsidR="00AF34BF" w:rsidRPr="00D61613" w:rsidRDefault="0016174D" w:rsidP="00AF34BF">
      <w:pPr>
        <w:jc w:val="both"/>
        <w:rPr>
          <w:rFonts w:ascii="Rockwell" w:hAnsi="Rockwell"/>
          <w:sz w:val="22"/>
          <w:szCs w:val="22"/>
        </w:rPr>
      </w:pPr>
      <w:r>
        <w:rPr>
          <w:rFonts w:ascii="Rockwell" w:hAnsi="Rockwell"/>
          <w:sz w:val="22"/>
          <w:szCs w:val="22"/>
        </w:rPr>
        <w:t xml:space="preserve">A formal record </w:t>
      </w:r>
      <w:r w:rsidR="00B332F3">
        <w:rPr>
          <w:rFonts w:ascii="Rockwell" w:hAnsi="Rockwell"/>
          <w:sz w:val="22"/>
          <w:szCs w:val="22"/>
        </w:rPr>
        <w:t xml:space="preserve">will be made of the meeting.  Where the student fails to demonstrate to the Faculty’s satisfaction that the work submitted is </w:t>
      </w:r>
      <w:r w:rsidR="00F20617">
        <w:rPr>
          <w:rFonts w:ascii="Rockwell" w:hAnsi="Rockwell"/>
          <w:sz w:val="22"/>
          <w:szCs w:val="22"/>
        </w:rPr>
        <w:t>a genuine representation of their own ability</w:t>
      </w:r>
      <w:r w:rsidR="00AF34BF">
        <w:rPr>
          <w:rFonts w:ascii="Rockwell" w:hAnsi="Rockwell"/>
          <w:sz w:val="22"/>
          <w:szCs w:val="22"/>
        </w:rPr>
        <w:t>, the record of the meeting, a copy of the assignment and a Faculty Academic Misconduct Front Sheet should be passed to the Faculty Administrator who will forward this to the Conduct and Appeals Unit</w:t>
      </w:r>
      <w:r w:rsidR="00F20617">
        <w:rPr>
          <w:rFonts w:ascii="Rockwell" w:hAnsi="Rockwell"/>
          <w:sz w:val="22"/>
          <w:szCs w:val="22"/>
        </w:rPr>
        <w:t>.</w:t>
      </w:r>
    </w:p>
    <w:p w14:paraId="104FD94B" w14:textId="77777777" w:rsidR="00BB4EF8" w:rsidRPr="00D61613" w:rsidRDefault="00BB4EF8" w:rsidP="009E2FD6">
      <w:pPr>
        <w:jc w:val="both"/>
        <w:rPr>
          <w:rFonts w:ascii="Rockwell" w:hAnsi="Rockwell"/>
          <w:sz w:val="22"/>
          <w:szCs w:val="22"/>
        </w:rPr>
      </w:pPr>
    </w:p>
    <w:p w14:paraId="76091DD3" w14:textId="77777777" w:rsidR="00BB4EF8" w:rsidRPr="00D61613" w:rsidRDefault="00BB4EF8" w:rsidP="009E2FD6">
      <w:pPr>
        <w:jc w:val="both"/>
        <w:rPr>
          <w:rFonts w:ascii="Rockwell" w:hAnsi="Rockwell"/>
          <w:sz w:val="22"/>
          <w:szCs w:val="22"/>
        </w:rPr>
      </w:pPr>
      <w:r w:rsidRPr="00D61613">
        <w:rPr>
          <w:rFonts w:ascii="Rockwell" w:hAnsi="Rockwell"/>
          <w:sz w:val="22"/>
          <w:szCs w:val="22"/>
          <w:u w:val="single"/>
        </w:rPr>
        <w:t>Allocation of Grades</w:t>
      </w:r>
    </w:p>
    <w:p w14:paraId="56CA1A84" w14:textId="77777777" w:rsidR="00BB4EF8" w:rsidRPr="00D61613" w:rsidRDefault="00BB4EF8" w:rsidP="009E2FD6">
      <w:pPr>
        <w:jc w:val="both"/>
        <w:rPr>
          <w:rFonts w:ascii="Rockwell" w:hAnsi="Rockwell"/>
          <w:sz w:val="22"/>
          <w:szCs w:val="22"/>
        </w:rPr>
      </w:pPr>
    </w:p>
    <w:p w14:paraId="22682554" w14:textId="17436933" w:rsidR="00BB4EF8" w:rsidRPr="00D61613" w:rsidRDefault="00BB4EF8" w:rsidP="009E2FD6">
      <w:pPr>
        <w:jc w:val="both"/>
        <w:rPr>
          <w:rFonts w:ascii="Rockwell" w:hAnsi="Rockwell"/>
          <w:sz w:val="22"/>
          <w:szCs w:val="22"/>
        </w:rPr>
      </w:pPr>
      <w:r w:rsidRPr="00D61613">
        <w:rPr>
          <w:rFonts w:ascii="Rockwell" w:hAnsi="Rockwell"/>
          <w:sz w:val="22"/>
          <w:szCs w:val="22"/>
        </w:rPr>
        <w:t xml:space="preserve">Once the module leader is satisfied that there is sufficient evidence for a case to be </w:t>
      </w:r>
      <w:r w:rsidR="00D47E90">
        <w:rPr>
          <w:rFonts w:ascii="Rockwell" w:hAnsi="Rockwell"/>
          <w:sz w:val="22"/>
          <w:szCs w:val="22"/>
        </w:rPr>
        <w:t>forwarded to the Conduct and Appeals Unit</w:t>
      </w:r>
      <w:r w:rsidRPr="00D61613">
        <w:rPr>
          <w:rFonts w:ascii="Rockwell" w:hAnsi="Rockwell"/>
          <w:sz w:val="22"/>
          <w:szCs w:val="22"/>
        </w:rPr>
        <w:t xml:space="preserve"> then </w:t>
      </w:r>
      <w:r w:rsidR="006E5CE9">
        <w:rPr>
          <w:rFonts w:ascii="Rockwell" w:hAnsi="Rockwell"/>
          <w:sz w:val="22"/>
          <w:szCs w:val="22"/>
        </w:rPr>
        <w:t>a grade of 0AM</w:t>
      </w:r>
      <w:r w:rsidR="002A6B03">
        <w:rPr>
          <w:rFonts w:ascii="Rockwell" w:hAnsi="Rockwell"/>
          <w:sz w:val="22"/>
          <w:szCs w:val="22"/>
        </w:rPr>
        <w:t xml:space="preserve"> </w:t>
      </w:r>
      <w:r w:rsidRPr="00D61613">
        <w:rPr>
          <w:rFonts w:ascii="Rockwell" w:hAnsi="Rockwell"/>
          <w:sz w:val="22"/>
          <w:szCs w:val="22"/>
        </w:rPr>
        <w:t xml:space="preserve">should be entered on to the </w:t>
      </w:r>
      <w:r w:rsidR="00742B68">
        <w:rPr>
          <w:rFonts w:ascii="Rockwell" w:hAnsi="Rockwell"/>
          <w:sz w:val="22"/>
          <w:szCs w:val="22"/>
        </w:rPr>
        <w:t xml:space="preserve">e:Vision </w:t>
      </w:r>
      <w:r w:rsidRPr="00D61613">
        <w:rPr>
          <w:rFonts w:ascii="Rockwell" w:hAnsi="Rockwell"/>
          <w:sz w:val="22"/>
          <w:szCs w:val="22"/>
        </w:rPr>
        <w:t xml:space="preserve"> system</w:t>
      </w:r>
      <w:r w:rsidR="006E5CE9">
        <w:rPr>
          <w:rFonts w:ascii="Rockwell" w:hAnsi="Rockwell"/>
          <w:sz w:val="22"/>
          <w:szCs w:val="22"/>
        </w:rPr>
        <w:t>.</w:t>
      </w:r>
    </w:p>
    <w:p w14:paraId="106CC629" w14:textId="77777777" w:rsidR="00BB4EF8" w:rsidRDefault="00BB4EF8" w:rsidP="009E2FD6">
      <w:pPr>
        <w:jc w:val="both"/>
        <w:rPr>
          <w:rFonts w:ascii="Rockwell" w:hAnsi="Rockwell"/>
          <w:sz w:val="22"/>
          <w:szCs w:val="22"/>
        </w:rPr>
      </w:pPr>
    </w:p>
    <w:p w14:paraId="37FAC0AD" w14:textId="77777777" w:rsidR="002D6204" w:rsidRDefault="002D6204" w:rsidP="002D6204">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Conduct and Appeals Unit will review the evidence received from the Faculty and if, in their judgement, there is sufficient evidence to warrant further action a date for a hearing will be agreed with the Faculty. </w:t>
      </w:r>
    </w:p>
    <w:p w14:paraId="29BE8604" w14:textId="77777777" w:rsidR="00F20617" w:rsidRDefault="00F20617" w:rsidP="002D6204">
      <w:pPr>
        <w:autoSpaceDE w:val="0"/>
        <w:autoSpaceDN w:val="0"/>
        <w:adjustRightInd w:val="0"/>
        <w:jc w:val="both"/>
        <w:rPr>
          <w:rFonts w:ascii="Rockwell" w:hAnsi="Rockwell" w:cs="Rockwell"/>
          <w:color w:val="000000"/>
          <w:sz w:val="22"/>
          <w:szCs w:val="22"/>
          <w:lang w:eastAsia="en-GB"/>
        </w:rPr>
      </w:pPr>
    </w:p>
    <w:p w14:paraId="0D2800C7" w14:textId="77777777" w:rsidR="00F20617" w:rsidRDefault="00F20617" w:rsidP="002D6204">
      <w:pPr>
        <w:autoSpaceDE w:val="0"/>
        <w:autoSpaceDN w:val="0"/>
        <w:adjustRightInd w:val="0"/>
        <w:jc w:val="both"/>
        <w:rPr>
          <w:rFonts w:ascii="Rockwell" w:hAnsi="Rockwell" w:cs="Rockwell"/>
          <w:color w:val="000000"/>
          <w:sz w:val="22"/>
          <w:szCs w:val="22"/>
          <w:u w:val="single"/>
          <w:lang w:eastAsia="en-GB"/>
        </w:rPr>
      </w:pPr>
      <w:r w:rsidRPr="00F822A9">
        <w:rPr>
          <w:rFonts w:ascii="Rockwell" w:hAnsi="Rockwell" w:cs="Rockwell"/>
          <w:color w:val="000000"/>
          <w:sz w:val="22"/>
          <w:szCs w:val="22"/>
          <w:u w:val="single"/>
          <w:lang w:eastAsia="en-GB"/>
        </w:rPr>
        <w:t>Advice and feedback to students</w:t>
      </w:r>
    </w:p>
    <w:p w14:paraId="52B2840B" w14:textId="77777777" w:rsidR="00F20617" w:rsidRPr="00F822A9" w:rsidRDefault="00F20617" w:rsidP="002D6204">
      <w:pPr>
        <w:autoSpaceDE w:val="0"/>
        <w:autoSpaceDN w:val="0"/>
        <w:adjustRightInd w:val="0"/>
        <w:jc w:val="both"/>
        <w:rPr>
          <w:rFonts w:ascii="Rockwell" w:hAnsi="Rockwell" w:cs="Rockwell"/>
          <w:color w:val="000000"/>
          <w:sz w:val="22"/>
          <w:szCs w:val="22"/>
          <w:u w:val="single"/>
          <w:lang w:eastAsia="en-GB"/>
        </w:rPr>
      </w:pPr>
    </w:p>
    <w:p w14:paraId="25808B37" w14:textId="77777777" w:rsidR="00F20617" w:rsidRDefault="00F20617" w:rsidP="00F20617">
      <w:pPr>
        <w:jc w:val="both"/>
        <w:rPr>
          <w:rFonts w:ascii="Rockwell" w:hAnsi="Rockwell"/>
          <w:bCs/>
          <w:sz w:val="22"/>
          <w:szCs w:val="22"/>
        </w:rPr>
      </w:pPr>
      <w:r w:rsidRPr="009E2FD6">
        <w:rPr>
          <w:rFonts w:ascii="Rockwell" w:hAnsi="Rockwell"/>
          <w:bCs/>
          <w:sz w:val="22"/>
          <w:szCs w:val="22"/>
        </w:rPr>
        <w:t xml:space="preserve">Academic or administrative staff should </w:t>
      </w:r>
      <w:r w:rsidRPr="009E2FD6">
        <w:rPr>
          <w:rFonts w:ascii="Rockwell" w:hAnsi="Rockwell"/>
          <w:bCs/>
          <w:sz w:val="22"/>
          <w:szCs w:val="22"/>
          <w:u w:val="single"/>
        </w:rPr>
        <w:t>not</w:t>
      </w:r>
      <w:r w:rsidRPr="009E2FD6">
        <w:rPr>
          <w:rFonts w:ascii="Rockwell" w:hAnsi="Rockwell"/>
          <w:bCs/>
          <w:sz w:val="22"/>
          <w:szCs w:val="22"/>
        </w:rPr>
        <w:t xml:space="preserve"> discuss the matter </w:t>
      </w:r>
      <w:r>
        <w:rPr>
          <w:rFonts w:ascii="Rockwell" w:hAnsi="Rockwell"/>
          <w:bCs/>
          <w:sz w:val="22"/>
          <w:szCs w:val="22"/>
        </w:rPr>
        <w:t xml:space="preserve">in detail </w:t>
      </w:r>
      <w:r w:rsidRPr="009E2FD6">
        <w:rPr>
          <w:rFonts w:ascii="Rockwell" w:hAnsi="Rockwell"/>
          <w:bCs/>
          <w:sz w:val="22"/>
          <w:szCs w:val="22"/>
        </w:rPr>
        <w:t xml:space="preserve">with students.  Students who enquire about their assessment should be advised that the Conduct and Appeals Unit are investigating a suspicion of Academic Misconduct and that they will be receiving a letter in due course inviting them to a meeting to discuss the work. </w:t>
      </w:r>
    </w:p>
    <w:p w14:paraId="4F698210" w14:textId="77777777" w:rsidR="00F20617" w:rsidRDefault="00F20617" w:rsidP="00F20617">
      <w:pPr>
        <w:jc w:val="both"/>
        <w:rPr>
          <w:rFonts w:ascii="Rockwell" w:hAnsi="Rockwell"/>
          <w:bCs/>
          <w:sz w:val="22"/>
          <w:szCs w:val="22"/>
        </w:rPr>
      </w:pPr>
    </w:p>
    <w:p w14:paraId="1DAF8BC9" w14:textId="77777777" w:rsidR="00F20617" w:rsidRPr="009E2FD6" w:rsidRDefault="00F20617" w:rsidP="00F20617">
      <w:pPr>
        <w:jc w:val="both"/>
        <w:rPr>
          <w:rFonts w:ascii="Rockwell" w:hAnsi="Rockwell"/>
          <w:bCs/>
          <w:sz w:val="22"/>
          <w:szCs w:val="22"/>
        </w:rPr>
      </w:pPr>
      <w:r w:rsidRPr="009E2FD6">
        <w:rPr>
          <w:rFonts w:ascii="Rockwell" w:hAnsi="Rockwell"/>
          <w:bCs/>
          <w:sz w:val="22"/>
          <w:szCs w:val="22"/>
        </w:rPr>
        <w:lastRenderedPageBreak/>
        <w:t xml:space="preserve">If students require further information they can be referred to the Academic Misconduct Policies and </w:t>
      </w:r>
      <w:r>
        <w:rPr>
          <w:rFonts w:ascii="Rockwell" w:hAnsi="Rockwell"/>
          <w:bCs/>
          <w:sz w:val="22"/>
          <w:szCs w:val="22"/>
        </w:rPr>
        <w:t>P</w:t>
      </w:r>
      <w:r w:rsidRPr="009E2FD6">
        <w:rPr>
          <w:rFonts w:ascii="Rockwell" w:hAnsi="Rockwell"/>
          <w:bCs/>
          <w:sz w:val="22"/>
          <w:szCs w:val="22"/>
        </w:rPr>
        <w:t>rocedures on the Conduct and Appeals Website</w:t>
      </w:r>
      <w:r>
        <w:rPr>
          <w:rFonts w:ascii="Rockwell" w:hAnsi="Rockwell"/>
          <w:bCs/>
          <w:sz w:val="22"/>
          <w:szCs w:val="22"/>
        </w:rPr>
        <w:t xml:space="preserve"> </w:t>
      </w:r>
      <w:hyperlink r:id="rId10" w:history="1">
        <w:r w:rsidRPr="009E2FD6">
          <w:rPr>
            <w:rStyle w:val="Hyperlink"/>
            <w:rFonts w:ascii="Rockwell" w:hAnsi="Rockwell"/>
            <w:bCs/>
            <w:sz w:val="22"/>
            <w:szCs w:val="22"/>
          </w:rPr>
          <w:t>www.wlv.ac.uk/conductandappeals</w:t>
        </w:r>
      </w:hyperlink>
      <w:r>
        <w:rPr>
          <w:rFonts w:ascii="Rockwell" w:hAnsi="Rockwell"/>
          <w:bCs/>
          <w:sz w:val="22"/>
          <w:szCs w:val="22"/>
        </w:rPr>
        <w:t>.</w:t>
      </w:r>
      <w:r w:rsidRPr="009E2FD6">
        <w:rPr>
          <w:rFonts w:ascii="Rockwell" w:hAnsi="Rockwell"/>
          <w:bCs/>
          <w:sz w:val="22"/>
          <w:szCs w:val="22"/>
        </w:rPr>
        <w:t xml:space="preserve"> </w:t>
      </w:r>
      <w:r>
        <w:rPr>
          <w:rFonts w:ascii="Rockwell" w:hAnsi="Rockwell"/>
          <w:bCs/>
          <w:sz w:val="22"/>
          <w:szCs w:val="22"/>
        </w:rPr>
        <w:t>Students can also contact the</w:t>
      </w:r>
      <w:r w:rsidRPr="009E2FD6">
        <w:rPr>
          <w:rFonts w:ascii="Rockwell" w:hAnsi="Rockwell"/>
          <w:bCs/>
          <w:sz w:val="22"/>
          <w:szCs w:val="22"/>
        </w:rPr>
        <w:t xml:space="preserve"> Conduct and Appeals Unit via email to </w:t>
      </w:r>
      <w:hyperlink r:id="rId11" w:history="1">
        <w:r w:rsidRPr="009E2FD6">
          <w:rPr>
            <w:rStyle w:val="Hyperlink"/>
            <w:rFonts w:ascii="Rockwell" w:hAnsi="Rockwell"/>
            <w:bCs/>
            <w:sz w:val="22"/>
            <w:szCs w:val="22"/>
          </w:rPr>
          <w:t>conductandappeals@wlv.ac.uk</w:t>
        </w:r>
      </w:hyperlink>
      <w:r>
        <w:rPr>
          <w:rFonts w:ascii="Rockwell" w:hAnsi="Rockwell"/>
          <w:bCs/>
          <w:sz w:val="22"/>
          <w:szCs w:val="22"/>
        </w:rPr>
        <w:t xml:space="preserve">. In addition students should be advised to </w:t>
      </w:r>
      <w:r w:rsidRPr="009E2FD6">
        <w:rPr>
          <w:rFonts w:ascii="Rockwell" w:hAnsi="Rockwell"/>
          <w:bCs/>
          <w:sz w:val="22"/>
          <w:szCs w:val="22"/>
        </w:rPr>
        <w:t xml:space="preserve">contact the Students’ Union Advice and Support Centre via </w:t>
      </w:r>
      <w:hyperlink r:id="rId12" w:history="1">
        <w:r w:rsidRPr="009E2FD6">
          <w:rPr>
            <w:rStyle w:val="Hyperlink"/>
            <w:rFonts w:ascii="Rockwell" w:hAnsi="Rockwell"/>
            <w:sz w:val="22"/>
            <w:szCs w:val="22"/>
          </w:rPr>
          <w:t>advice.wolvesunion@wlv.ac.uk</w:t>
        </w:r>
      </w:hyperlink>
      <w:r w:rsidRPr="009E2FD6">
        <w:rPr>
          <w:rFonts w:ascii="Rockwell" w:hAnsi="Rockwell"/>
          <w:color w:val="1F497D"/>
          <w:sz w:val="22"/>
          <w:szCs w:val="22"/>
        </w:rPr>
        <w:t xml:space="preserve"> </w:t>
      </w:r>
      <w:r w:rsidRPr="009E2FD6">
        <w:rPr>
          <w:rFonts w:ascii="Rockwell" w:hAnsi="Rockwell"/>
          <w:sz w:val="22"/>
          <w:szCs w:val="22"/>
        </w:rPr>
        <w:t>or by calling 01902 322038.</w:t>
      </w:r>
    </w:p>
    <w:p w14:paraId="72926E0A" w14:textId="77777777" w:rsidR="00F20617" w:rsidRDefault="00F20617" w:rsidP="002D6204">
      <w:pPr>
        <w:autoSpaceDE w:val="0"/>
        <w:autoSpaceDN w:val="0"/>
        <w:adjustRightInd w:val="0"/>
        <w:jc w:val="both"/>
        <w:rPr>
          <w:rFonts w:ascii="Rockwell" w:hAnsi="Rockwell" w:cs="Rockwell"/>
          <w:color w:val="000000"/>
          <w:sz w:val="22"/>
          <w:szCs w:val="22"/>
          <w:lang w:eastAsia="en-GB"/>
        </w:rPr>
      </w:pPr>
    </w:p>
    <w:p w14:paraId="76947588" w14:textId="77777777" w:rsidR="00BB4EF8" w:rsidRPr="00D61613" w:rsidRDefault="00BB4EF8" w:rsidP="009E2FD6">
      <w:pPr>
        <w:jc w:val="both"/>
        <w:rPr>
          <w:rFonts w:ascii="Rockwell" w:hAnsi="Rockwell"/>
          <w:sz w:val="22"/>
          <w:szCs w:val="22"/>
        </w:rPr>
      </w:pPr>
    </w:p>
    <w:tbl>
      <w:tblPr>
        <w:tblW w:w="0" w:type="auto"/>
        <w:tblLook w:val="01E0" w:firstRow="1" w:lastRow="1" w:firstColumn="1" w:lastColumn="1" w:noHBand="0" w:noVBand="0"/>
      </w:tblPr>
      <w:tblGrid>
        <w:gridCol w:w="3794"/>
        <w:gridCol w:w="4728"/>
      </w:tblGrid>
      <w:tr w:rsidR="00BB4EF8" w:rsidRPr="00554FE9" w14:paraId="37C0F92D" w14:textId="77777777" w:rsidTr="009E2FD6">
        <w:tc>
          <w:tcPr>
            <w:tcW w:w="3794" w:type="dxa"/>
            <w:shd w:val="clear" w:color="auto" w:fill="000000"/>
          </w:tcPr>
          <w:p w14:paraId="386DE502" w14:textId="6644AF7F" w:rsidR="002D6204" w:rsidRPr="009E2FD6" w:rsidRDefault="00BB4EF8" w:rsidP="002D6204">
            <w:pPr>
              <w:autoSpaceDE w:val="0"/>
              <w:autoSpaceDN w:val="0"/>
              <w:adjustRightInd w:val="0"/>
              <w:jc w:val="both"/>
              <w:rPr>
                <w:rFonts w:ascii="Rockwell" w:hAnsi="Rockwell" w:cs="Rockwell"/>
                <w:b/>
                <w:color w:val="FFFFFF" w:themeColor="background1"/>
                <w:sz w:val="22"/>
                <w:szCs w:val="22"/>
                <w:lang w:eastAsia="en-GB"/>
              </w:rPr>
            </w:pPr>
            <w:r w:rsidRPr="00554FE9">
              <w:rPr>
                <w:rFonts w:ascii="Rockwell" w:hAnsi="Rockwell"/>
                <w:b/>
                <w:bCs/>
              </w:rPr>
              <w:t>THE STAGE ONE HEARING:</w:t>
            </w:r>
          </w:p>
          <w:p w14:paraId="6AF74847" w14:textId="77777777" w:rsidR="00BB4EF8" w:rsidRPr="00554FE9" w:rsidRDefault="00BB4EF8" w:rsidP="009E2FD6">
            <w:pPr>
              <w:tabs>
                <w:tab w:val="left" w:pos="2775"/>
                <w:tab w:val="left" w:pos="3300"/>
              </w:tabs>
              <w:jc w:val="both"/>
              <w:rPr>
                <w:rFonts w:ascii="Rockwell" w:hAnsi="Rockwell"/>
                <w:b/>
                <w:bCs/>
              </w:rPr>
            </w:pPr>
          </w:p>
        </w:tc>
        <w:tc>
          <w:tcPr>
            <w:tcW w:w="4728" w:type="dxa"/>
            <w:shd w:val="clear" w:color="auto" w:fill="D9D9D9"/>
          </w:tcPr>
          <w:p w14:paraId="2B9CC1BB" w14:textId="77777777" w:rsidR="00BB4EF8" w:rsidRPr="00554FE9" w:rsidRDefault="002D6204" w:rsidP="009E2FD6">
            <w:pPr>
              <w:jc w:val="both"/>
              <w:rPr>
                <w:rFonts w:ascii="Rockwell" w:hAnsi="Rockwell"/>
                <w:b/>
              </w:rPr>
            </w:pPr>
            <w:r w:rsidRPr="009E2FD6">
              <w:rPr>
                <w:rFonts w:ascii="Rockwell" w:hAnsi="Rockwell" w:cs="Rockwell"/>
                <w:b/>
                <w:sz w:val="22"/>
                <w:szCs w:val="22"/>
                <w:lang w:eastAsia="en-GB"/>
              </w:rPr>
              <w:t>For Students based on campus in the UK</w:t>
            </w:r>
          </w:p>
        </w:tc>
      </w:tr>
    </w:tbl>
    <w:p w14:paraId="01240FD0" w14:textId="77777777" w:rsidR="00BB4EF8" w:rsidRPr="00D61613" w:rsidRDefault="00BB4EF8" w:rsidP="009E2FD6">
      <w:pPr>
        <w:jc w:val="both"/>
        <w:rPr>
          <w:rFonts w:ascii="Rockwell" w:hAnsi="Rockwell"/>
          <w:sz w:val="22"/>
          <w:szCs w:val="22"/>
        </w:rPr>
      </w:pPr>
    </w:p>
    <w:p w14:paraId="37C6A104" w14:textId="6EA97EB5" w:rsidR="006A4A9B" w:rsidRDefault="002F002D"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w:t>
      </w:r>
      <w:r w:rsidR="006604D4">
        <w:rPr>
          <w:rFonts w:ascii="Rockwell" w:hAnsi="Rockwell" w:cs="Rockwell"/>
          <w:color w:val="000000"/>
          <w:sz w:val="22"/>
          <w:szCs w:val="22"/>
          <w:lang w:eastAsia="en-GB"/>
        </w:rPr>
        <w:t xml:space="preserve">Faculty Administrator </w:t>
      </w:r>
      <w:r>
        <w:rPr>
          <w:rFonts w:ascii="Rockwell" w:hAnsi="Rockwell" w:cs="Rockwell"/>
          <w:color w:val="000000"/>
          <w:sz w:val="22"/>
          <w:szCs w:val="22"/>
          <w:lang w:eastAsia="en-GB"/>
        </w:rPr>
        <w:t>will write</w:t>
      </w:r>
      <w:r w:rsidR="00AF34BF">
        <w:rPr>
          <w:rFonts w:ascii="Rockwell" w:hAnsi="Rockwell" w:cs="Rockwell"/>
          <w:color w:val="000000"/>
          <w:sz w:val="22"/>
          <w:szCs w:val="22"/>
          <w:lang w:eastAsia="en-GB"/>
        </w:rPr>
        <w:t xml:space="preserve"> </w:t>
      </w:r>
      <w:r>
        <w:rPr>
          <w:rFonts w:ascii="Rockwell" w:hAnsi="Rockwell" w:cs="Rockwell"/>
          <w:color w:val="000000"/>
          <w:sz w:val="22"/>
          <w:szCs w:val="22"/>
          <w:lang w:eastAsia="en-GB"/>
        </w:rPr>
        <w:t xml:space="preserve">to the student </w:t>
      </w:r>
      <w:r w:rsidR="00AF34BF">
        <w:rPr>
          <w:rFonts w:ascii="Rockwell" w:hAnsi="Rockwell" w:cs="Rockwell"/>
          <w:color w:val="000000"/>
          <w:sz w:val="22"/>
          <w:szCs w:val="22"/>
          <w:lang w:eastAsia="en-GB"/>
        </w:rPr>
        <w:t xml:space="preserve">on behalf of the Chair of the Academic Misconduct Panel </w:t>
      </w:r>
      <w:r>
        <w:rPr>
          <w:rFonts w:ascii="Rockwell" w:hAnsi="Rockwell" w:cs="Rockwell"/>
          <w:color w:val="000000"/>
          <w:sz w:val="22"/>
          <w:szCs w:val="22"/>
          <w:lang w:eastAsia="en-GB"/>
        </w:rPr>
        <w:t>inviting them to the hearing.</w:t>
      </w:r>
      <w:r w:rsidR="006604D4">
        <w:rPr>
          <w:rFonts w:ascii="Rockwell" w:hAnsi="Rockwell" w:cs="Rockwell"/>
          <w:color w:val="000000"/>
          <w:sz w:val="22"/>
          <w:szCs w:val="22"/>
          <w:lang w:eastAsia="en-GB"/>
        </w:rPr>
        <w:t xml:space="preserve"> A copy of this letter will be sent to the Student’s University email account.</w:t>
      </w:r>
      <w:r>
        <w:rPr>
          <w:rFonts w:ascii="Rockwell" w:hAnsi="Rockwell" w:cs="Rockwell"/>
          <w:color w:val="000000"/>
          <w:sz w:val="22"/>
          <w:szCs w:val="22"/>
          <w:lang w:eastAsia="en-GB"/>
        </w:rPr>
        <w:t xml:space="preserve"> </w:t>
      </w:r>
      <w:r w:rsidR="006A4A9B">
        <w:rPr>
          <w:rFonts w:ascii="Rockwell" w:hAnsi="Rockwell" w:cs="Rockwell"/>
          <w:color w:val="000000"/>
          <w:sz w:val="22"/>
          <w:szCs w:val="22"/>
          <w:lang w:eastAsia="en-GB"/>
        </w:rPr>
        <w:t xml:space="preserve">A standard invite </w:t>
      </w:r>
      <w:r w:rsidR="00D47E90">
        <w:rPr>
          <w:rFonts w:ascii="Rockwell" w:hAnsi="Rockwell" w:cs="Rockwell"/>
          <w:color w:val="000000"/>
          <w:sz w:val="22"/>
          <w:szCs w:val="22"/>
          <w:lang w:eastAsia="en-GB"/>
        </w:rPr>
        <w:t>template</w:t>
      </w:r>
      <w:r w:rsidR="006A4A9B">
        <w:rPr>
          <w:rFonts w:ascii="Rockwell" w:hAnsi="Rockwell" w:cs="Rockwell"/>
          <w:color w:val="000000"/>
          <w:sz w:val="22"/>
          <w:szCs w:val="22"/>
          <w:lang w:eastAsia="en-GB"/>
        </w:rPr>
        <w:t>, which must be used, will be provided by the Conduct &amp; Appeals Unit.</w:t>
      </w:r>
    </w:p>
    <w:p w14:paraId="5A1BD970" w14:textId="77777777" w:rsidR="006A4A9B" w:rsidRDefault="006A4A9B" w:rsidP="009E2FD6">
      <w:pPr>
        <w:autoSpaceDE w:val="0"/>
        <w:autoSpaceDN w:val="0"/>
        <w:adjustRightInd w:val="0"/>
        <w:jc w:val="both"/>
        <w:rPr>
          <w:rFonts w:ascii="Rockwell" w:hAnsi="Rockwell" w:cs="Rockwell"/>
          <w:color w:val="000000"/>
          <w:sz w:val="22"/>
          <w:szCs w:val="22"/>
          <w:lang w:eastAsia="en-GB"/>
        </w:rPr>
      </w:pPr>
    </w:p>
    <w:p w14:paraId="7971865C" w14:textId="77777777" w:rsidR="002F002D" w:rsidRDefault="002F002D"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student will be given at least 7 working </w:t>
      </w:r>
      <w:r w:rsidR="00AF34BF">
        <w:rPr>
          <w:rFonts w:ascii="Rockwell" w:hAnsi="Rockwell" w:cs="Rockwell"/>
          <w:color w:val="000000"/>
          <w:sz w:val="22"/>
          <w:szCs w:val="22"/>
          <w:lang w:eastAsia="en-GB"/>
        </w:rPr>
        <w:t>days’ notice</w:t>
      </w:r>
      <w:r>
        <w:rPr>
          <w:rFonts w:ascii="Rockwell" w:hAnsi="Rockwell" w:cs="Rockwell"/>
          <w:color w:val="000000"/>
          <w:sz w:val="22"/>
          <w:szCs w:val="22"/>
          <w:lang w:eastAsia="en-GB"/>
        </w:rPr>
        <w:t xml:space="preserve"> of the hearing. The letter will clearly state the allegation that is being made and identify in which piece of assessment the offence has allegedly been committed.</w:t>
      </w:r>
    </w:p>
    <w:p w14:paraId="133C6E1D" w14:textId="77777777" w:rsidR="002F002D" w:rsidRDefault="002F002D" w:rsidP="009E2FD6">
      <w:pPr>
        <w:autoSpaceDE w:val="0"/>
        <w:autoSpaceDN w:val="0"/>
        <w:adjustRightInd w:val="0"/>
        <w:jc w:val="both"/>
        <w:rPr>
          <w:rFonts w:ascii="Rockwell" w:hAnsi="Rockwell" w:cs="Rockwell"/>
          <w:color w:val="000000"/>
          <w:sz w:val="22"/>
          <w:szCs w:val="22"/>
          <w:lang w:eastAsia="en-GB"/>
        </w:rPr>
      </w:pPr>
    </w:p>
    <w:p w14:paraId="1058F739" w14:textId="776EC5F5" w:rsidR="002F002D" w:rsidRDefault="002F002D"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letter </w:t>
      </w:r>
      <w:r w:rsidR="006604D4">
        <w:rPr>
          <w:rFonts w:ascii="Rockwell" w:hAnsi="Rockwell" w:cs="Rockwell"/>
          <w:color w:val="000000"/>
          <w:sz w:val="22"/>
          <w:szCs w:val="22"/>
          <w:lang w:eastAsia="en-GB"/>
        </w:rPr>
        <w:t xml:space="preserve">will </w:t>
      </w:r>
      <w:r>
        <w:rPr>
          <w:rFonts w:ascii="Rockwell" w:hAnsi="Rockwell" w:cs="Rockwell"/>
          <w:color w:val="000000"/>
          <w:sz w:val="22"/>
          <w:szCs w:val="22"/>
          <w:lang w:eastAsia="en-GB"/>
        </w:rPr>
        <w:t>contain a statement in relation to the standard of proof to be applied. The standard and burden of proof is for the University to prove the allegation(s) of misconduct and if on the available evidence it is more likely than not that misconduct has occurred then the burden and standard of proof is fulfilled and a penalty will be imposed as appropriate. The letter will inform the student that they have the right to present evidence in person, and provide written statements if they are unwilling or unable to attend the meeting.</w:t>
      </w:r>
    </w:p>
    <w:p w14:paraId="40111163" w14:textId="77777777" w:rsidR="002F002D" w:rsidRDefault="002F002D" w:rsidP="009E2FD6">
      <w:pPr>
        <w:autoSpaceDE w:val="0"/>
        <w:autoSpaceDN w:val="0"/>
        <w:adjustRightInd w:val="0"/>
        <w:jc w:val="both"/>
        <w:rPr>
          <w:rFonts w:ascii="Rockwell" w:hAnsi="Rockwell" w:cs="Rockwell"/>
          <w:color w:val="000000"/>
          <w:sz w:val="22"/>
          <w:szCs w:val="22"/>
          <w:lang w:eastAsia="en-GB"/>
        </w:rPr>
      </w:pPr>
    </w:p>
    <w:p w14:paraId="69D4C7F9" w14:textId="77777777" w:rsidR="006604D4" w:rsidRDefault="006604D4"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student will be informed that an audio recording will be taken of the meeting.  Students who would prefer a note taker </w:t>
      </w:r>
      <w:r w:rsidR="00AF34BF">
        <w:rPr>
          <w:rFonts w:ascii="Rockwell" w:hAnsi="Rockwell" w:cs="Rockwell"/>
          <w:color w:val="000000"/>
          <w:sz w:val="22"/>
          <w:szCs w:val="22"/>
          <w:lang w:eastAsia="en-GB"/>
        </w:rPr>
        <w:t xml:space="preserve">instead </w:t>
      </w:r>
      <w:r>
        <w:rPr>
          <w:rFonts w:ascii="Rockwell" w:hAnsi="Rockwell" w:cs="Rockwell"/>
          <w:color w:val="000000"/>
          <w:sz w:val="22"/>
          <w:szCs w:val="22"/>
          <w:lang w:eastAsia="en-GB"/>
        </w:rPr>
        <w:t xml:space="preserve">will be required to request this in advance. </w:t>
      </w:r>
    </w:p>
    <w:p w14:paraId="23088076" w14:textId="77777777" w:rsidR="006604D4" w:rsidRDefault="006604D4" w:rsidP="009E2FD6">
      <w:pPr>
        <w:autoSpaceDE w:val="0"/>
        <w:autoSpaceDN w:val="0"/>
        <w:adjustRightInd w:val="0"/>
        <w:jc w:val="both"/>
        <w:rPr>
          <w:rFonts w:ascii="Rockwell" w:hAnsi="Rockwell" w:cs="Rockwell"/>
          <w:color w:val="000000"/>
          <w:sz w:val="22"/>
          <w:szCs w:val="22"/>
          <w:lang w:eastAsia="en-GB"/>
        </w:rPr>
      </w:pPr>
    </w:p>
    <w:p w14:paraId="18350304" w14:textId="77777777" w:rsidR="006604D4" w:rsidRDefault="006604D4"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student will be provided with information about what to expect in an academic misconduct hearing to </w:t>
      </w:r>
      <w:r w:rsidR="00AF34BF">
        <w:rPr>
          <w:rFonts w:ascii="Rockwell" w:hAnsi="Rockwell" w:cs="Rockwell"/>
          <w:color w:val="000000"/>
          <w:sz w:val="22"/>
          <w:szCs w:val="22"/>
          <w:lang w:eastAsia="en-GB"/>
        </w:rPr>
        <w:t>help</w:t>
      </w:r>
      <w:r>
        <w:rPr>
          <w:rFonts w:ascii="Rockwell" w:hAnsi="Rockwell" w:cs="Rockwell"/>
          <w:color w:val="000000"/>
          <w:sz w:val="22"/>
          <w:szCs w:val="22"/>
          <w:lang w:eastAsia="en-GB"/>
        </w:rPr>
        <w:t xml:space="preserve"> them to prepare for the meeting.</w:t>
      </w:r>
    </w:p>
    <w:p w14:paraId="44C16341" w14:textId="77777777" w:rsidR="006604D4" w:rsidRDefault="006604D4" w:rsidP="009E2FD6">
      <w:pPr>
        <w:autoSpaceDE w:val="0"/>
        <w:autoSpaceDN w:val="0"/>
        <w:adjustRightInd w:val="0"/>
        <w:jc w:val="both"/>
        <w:rPr>
          <w:rFonts w:ascii="Rockwell" w:hAnsi="Rockwell" w:cs="Rockwell"/>
          <w:color w:val="000000"/>
          <w:sz w:val="22"/>
          <w:szCs w:val="22"/>
          <w:lang w:eastAsia="en-GB"/>
        </w:rPr>
      </w:pPr>
    </w:p>
    <w:p w14:paraId="4A09944C" w14:textId="77777777" w:rsidR="002F002D" w:rsidRDefault="002F002D"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It must be made clear to the student that if they fail to attend the meeting without a valid reason then a decision will be taken in their absence.</w:t>
      </w:r>
    </w:p>
    <w:p w14:paraId="6C8AFFB9" w14:textId="77777777" w:rsidR="002F002D" w:rsidRDefault="002F002D" w:rsidP="009E2FD6">
      <w:pPr>
        <w:autoSpaceDE w:val="0"/>
        <w:autoSpaceDN w:val="0"/>
        <w:adjustRightInd w:val="0"/>
        <w:jc w:val="both"/>
        <w:rPr>
          <w:rFonts w:ascii="Rockwell" w:hAnsi="Rockwell" w:cs="Rockwell"/>
          <w:color w:val="000000"/>
          <w:sz w:val="22"/>
          <w:szCs w:val="22"/>
          <w:lang w:eastAsia="en-GB"/>
        </w:rPr>
      </w:pPr>
    </w:p>
    <w:p w14:paraId="2B814D6D" w14:textId="77777777" w:rsidR="002F002D" w:rsidRDefault="002F002D"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The student will be informed that they can be accompanied by a “friend”. This will normally be a fellow student, or an Officer of the Students’ Union.</w:t>
      </w:r>
    </w:p>
    <w:p w14:paraId="57F6C60D" w14:textId="5C0054F8" w:rsidR="002F002D" w:rsidRDefault="00EB5F55" w:rsidP="009E2FD6">
      <w:pPr>
        <w:autoSpaceDE w:val="0"/>
        <w:autoSpaceDN w:val="0"/>
        <w:adjustRightInd w:val="0"/>
        <w:jc w:val="both"/>
        <w:rPr>
          <w:rFonts w:ascii="Rockwell" w:hAnsi="Rockwell" w:cs="Rockwell"/>
          <w:color w:val="0000FF"/>
          <w:sz w:val="22"/>
          <w:szCs w:val="22"/>
          <w:lang w:eastAsia="en-GB"/>
        </w:rPr>
      </w:pPr>
      <w:r>
        <w:rPr>
          <w:rFonts w:ascii="Rockwell" w:hAnsi="Rockwell" w:cs="Rockwell"/>
          <w:color w:val="000000"/>
          <w:sz w:val="22"/>
          <w:szCs w:val="22"/>
          <w:lang w:eastAsia="en-GB"/>
        </w:rPr>
        <w:t xml:space="preserve"> The</w:t>
      </w:r>
      <w:r w:rsidR="002F002D">
        <w:rPr>
          <w:rFonts w:ascii="Rockwell" w:hAnsi="Rockwell" w:cs="Rockwell"/>
          <w:color w:val="000000"/>
          <w:sz w:val="22"/>
          <w:szCs w:val="22"/>
          <w:lang w:eastAsia="en-GB"/>
        </w:rPr>
        <w:t xml:space="preserve"> Students’ Union Advice &amp; Support Centre</w:t>
      </w:r>
      <w:r>
        <w:rPr>
          <w:rFonts w:ascii="Rockwell" w:hAnsi="Rockwell" w:cs="Rockwell"/>
          <w:color w:val="000000"/>
          <w:sz w:val="22"/>
          <w:szCs w:val="22"/>
          <w:lang w:eastAsia="en-GB"/>
        </w:rPr>
        <w:t xml:space="preserve"> can be contacted </w:t>
      </w:r>
      <w:r w:rsidRPr="009E2FD6">
        <w:rPr>
          <w:rFonts w:ascii="Rockwell" w:hAnsi="Rockwell"/>
          <w:bCs/>
          <w:sz w:val="22"/>
          <w:szCs w:val="22"/>
        </w:rPr>
        <w:t xml:space="preserve">via </w:t>
      </w:r>
      <w:r>
        <w:rPr>
          <w:rFonts w:ascii="Rockwell" w:hAnsi="Rockwell"/>
          <w:bCs/>
          <w:sz w:val="22"/>
          <w:szCs w:val="22"/>
        </w:rPr>
        <w:t xml:space="preserve">email to </w:t>
      </w:r>
      <w:hyperlink r:id="rId13" w:history="1">
        <w:r w:rsidRPr="009E2FD6">
          <w:rPr>
            <w:rStyle w:val="Hyperlink"/>
            <w:rFonts w:ascii="Rockwell" w:hAnsi="Rockwell"/>
            <w:sz w:val="22"/>
            <w:szCs w:val="22"/>
          </w:rPr>
          <w:t>advice.wolvesunion@wlv.ac.uk</w:t>
        </w:r>
      </w:hyperlink>
      <w:r w:rsidRPr="009E2FD6">
        <w:rPr>
          <w:rFonts w:ascii="Rockwell" w:hAnsi="Rockwell"/>
          <w:color w:val="1F497D"/>
          <w:sz w:val="22"/>
          <w:szCs w:val="22"/>
        </w:rPr>
        <w:t xml:space="preserve"> </w:t>
      </w:r>
      <w:r>
        <w:rPr>
          <w:rFonts w:ascii="Rockwell" w:hAnsi="Rockwell"/>
          <w:sz w:val="22"/>
          <w:szCs w:val="22"/>
        </w:rPr>
        <w:t xml:space="preserve">or by calling 01902 322038 Details of the </w:t>
      </w:r>
      <w:r w:rsidR="006A4A9B">
        <w:rPr>
          <w:rFonts w:ascii="Rockwell" w:hAnsi="Rockwell" w:cs="Rockwell"/>
          <w:color w:val="000000"/>
          <w:sz w:val="22"/>
          <w:szCs w:val="22"/>
          <w:lang w:eastAsia="en-GB"/>
        </w:rPr>
        <w:t>Students Union Representation Service</w:t>
      </w:r>
      <w:r w:rsidR="002F002D">
        <w:rPr>
          <w:rFonts w:ascii="Rockwell" w:hAnsi="Rockwell" w:cs="Rockwell"/>
          <w:color w:val="000000"/>
          <w:sz w:val="22"/>
          <w:szCs w:val="22"/>
          <w:lang w:eastAsia="en-GB"/>
        </w:rPr>
        <w:t xml:space="preserve"> are available </w:t>
      </w:r>
      <w:r>
        <w:rPr>
          <w:rFonts w:ascii="Rockwell" w:hAnsi="Rockwell" w:cs="Rockwell"/>
          <w:color w:val="000000"/>
          <w:sz w:val="22"/>
          <w:szCs w:val="22"/>
          <w:lang w:eastAsia="en-GB"/>
        </w:rPr>
        <w:t xml:space="preserve">on </w:t>
      </w:r>
      <w:r w:rsidR="002F002D">
        <w:rPr>
          <w:rFonts w:ascii="Rockwell" w:hAnsi="Rockwell" w:cs="Rockwell"/>
          <w:color w:val="000000"/>
          <w:sz w:val="22"/>
          <w:szCs w:val="22"/>
          <w:lang w:eastAsia="en-GB"/>
        </w:rPr>
        <w:t xml:space="preserve">their website: </w:t>
      </w:r>
      <w:hyperlink r:id="rId14" w:history="1">
        <w:r w:rsidR="00C47E22" w:rsidRPr="000F2EBD">
          <w:rPr>
            <w:rStyle w:val="Hyperlink"/>
            <w:rFonts w:ascii="Rockwell" w:hAnsi="Rockwell" w:cs="Rockwell"/>
            <w:sz w:val="22"/>
            <w:szCs w:val="22"/>
            <w:lang w:eastAsia="en-GB"/>
          </w:rPr>
          <w:t>www.wolvesunion.org</w:t>
        </w:r>
      </w:hyperlink>
      <w:r w:rsidR="00C47E22">
        <w:rPr>
          <w:rFonts w:ascii="Rockwell" w:hAnsi="Rockwell" w:cs="Rockwell"/>
          <w:sz w:val="22"/>
          <w:szCs w:val="22"/>
          <w:lang w:eastAsia="en-GB"/>
        </w:rPr>
        <w:t xml:space="preserve"> </w:t>
      </w:r>
      <w:r w:rsidR="006A4A9B">
        <w:rPr>
          <w:rFonts w:ascii="Rockwell" w:hAnsi="Rockwell" w:cs="Rockwell"/>
          <w:color w:val="000000"/>
          <w:sz w:val="22"/>
          <w:szCs w:val="22"/>
          <w:lang w:eastAsia="en-GB"/>
        </w:rPr>
        <w:t xml:space="preserve"> </w:t>
      </w:r>
      <w:r w:rsidR="00C47E22">
        <w:rPr>
          <w:rFonts w:ascii="Rockwell" w:hAnsi="Rockwell" w:cs="Rockwell"/>
          <w:color w:val="000000"/>
          <w:sz w:val="22"/>
          <w:szCs w:val="22"/>
          <w:lang w:eastAsia="en-GB"/>
        </w:rPr>
        <w:t xml:space="preserve">and will </w:t>
      </w:r>
      <w:r w:rsidR="006A4A9B">
        <w:rPr>
          <w:rFonts w:ascii="Rockwell" w:hAnsi="Rockwell" w:cs="Rockwell"/>
          <w:color w:val="000000"/>
          <w:sz w:val="22"/>
          <w:szCs w:val="22"/>
          <w:lang w:eastAsia="en-GB"/>
        </w:rPr>
        <w:t>be included in the</w:t>
      </w:r>
      <w:r>
        <w:rPr>
          <w:rFonts w:ascii="Rockwell" w:hAnsi="Rockwell" w:cs="Rockwell"/>
          <w:color w:val="000000"/>
          <w:sz w:val="22"/>
          <w:szCs w:val="22"/>
          <w:lang w:eastAsia="en-GB"/>
        </w:rPr>
        <w:t xml:space="preserve"> invite </w:t>
      </w:r>
      <w:r w:rsidR="006A4A9B">
        <w:rPr>
          <w:rFonts w:ascii="Rockwell" w:hAnsi="Rockwell" w:cs="Rockwell"/>
          <w:color w:val="000000"/>
          <w:sz w:val="22"/>
          <w:szCs w:val="22"/>
          <w:lang w:eastAsia="en-GB"/>
        </w:rPr>
        <w:t>letter.</w:t>
      </w:r>
    </w:p>
    <w:p w14:paraId="3118D2FD" w14:textId="77777777" w:rsidR="00910427" w:rsidRDefault="00910427" w:rsidP="009E2FD6">
      <w:pPr>
        <w:autoSpaceDE w:val="0"/>
        <w:autoSpaceDN w:val="0"/>
        <w:adjustRightInd w:val="0"/>
        <w:jc w:val="both"/>
        <w:rPr>
          <w:rFonts w:ascii="Rockwell" w:hAnsi="Rockwell" w:cs="Rockwell"/>
          <w:color w:val="000000"/>
          <w:sz w:val="22"/>
          <w:szCs w:val="22"/>
          <w:lang w:eastAsia="en-GB"/>
        </w:rPr>
      </w:pPr>
    </w:p>
    <w:p w14:paraId="20630DD4" w14:textId="77777777" w:rsidR="002F002D" w:rsidRDefault="002F002D"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Under no circumstances will it be appropriate to bring a member of University staff as a “friend”.</w:t>
      </w:r>
    </w:p>
    <w:p w14:paraId="780EF2A8" w14:textId="77777777" w:rsidR="00C738C3" w:rsidRDefault="00C738C3" w:rsidP="009E2FD6">
      <w:pPr>
        <w:autoSpaceDE w:val="0"/>
        <w:autoSpaceDN w:val="0"/>
        <w:adjustRightInd w:val="0"/>
        <w:jc w:val="both"/>
        <w:rPr>
          <w:rFonts w:ascii="Rockwell" w:hAnsi="Rockwell" w:cs="Rockwell"/>
          <w:color w:val="000000"/>
          <w:sz w:val="22"/>
          <w:szCs w:val="22"/>
          <w:lang w:eastAsia="en-GB"/>
        </w:rPr>
      </w:pPr>
    </w:p>
    <w:p w14:paraId="316671C3" w14:textId="77777777" w:rsidR="00BB4EF8" w:rsidRPr="00D61613" w:rsidRDefault="00BB4EF8" w:rsidP="009E2FD6">
      <w:pPr>
        <w:jc w:val="both"/>
        <w:rPr>
          <w:rFonts w:ascii="Rockwell" w:hAnsi="Rockwell"/>
          <w:sz w:val="22"/>
          <w:szCs w:val="22"/>
        </w:rPr>
      </w:pPr>
      <w:r w:rsidRPr="00D61613">
        <w:rPr>
          <w:rFonts w:ascii="Rockwell" w:hAnsi="Rockwell"/>
          <w:sz w:val="22"/>
          <w:szCs w:val="22"/>
        </w:rPr>
        <w:t>The hearing will have in attendance</w:t>
      </w:r>
    </w:p>
    <w:p w14:paraId="42271809" w14:textId="77777777" w:rsidR="00BB4EF8" w:rsidRPr="00D61613" w:rsidRDefault="00BB4EF8" w:rsidP="009E2FD6">
      <w:pPr>
        <w:jc w:val="both"/>
        <w:rPr>
          <w:rFonts w:ascii="Rockwell" w:hAnsi="Rockwell"/>
          <w:sz w:val="22"/>
          <w:szCs w:val="22"/>
        </w:rPr>
      </w:pPr>
    </w:p>
    <w:p w14:paraId="41B3B1A5" w14:textId="4AA6486C" w:rsidR="00BB4EF8" w:rsidRPr="004F387A" w:rsidRDefault="00AF34BF" w:rsidP="004F387A">
      <w:pPr>
        <w:numPr>
          <w:ilvl w:val="0"/>
          <w:numId w:val="16"/>
        </w:numPr>
        <w:ind w:left="709" w:hanging="283"/>
        <w:jc w:val="both"/>
        <w:rPr>
          <w:rFonts w:ascii="Rockwell" w:hAnsi="Rockwell"/>
          <w:sz w:val="22"/>
          <w:szCs w:val="22"/>
        </w:rPr>
      </w:pPr>
      <w:r w:rsidRPr="004F387A">
        <w:rPr>
          <w:rFonts w:ascii="Rockwell" w:hAnsi="Rockwell"/>
          <w:sz w:val="22"/>
          <w:szCs w:val="22"/>
        </w:rPr>
        <w:t>Chair - a</w:t>
      </w:r>
      <w:r w:rsidR="00BB4EF8" w:rsidRPr="004F387A">
        <w:rPr>
          <w:rFonts w:ascii="Rockwell" w:hAnsi="Rockwell"/>
          <w:sz w:val="22"/>
          <w:szCs w:val="22"/>
        </w:rPr>
        <w:t xml:space="preserve"> senior member of academic staff from the </w:t>
      </w:r>
      <w:r w:rsidR="006604D4" w:rsidRPr="004F387A">
        <w:rPr>
          <w:rFonts w:ascii="Rockwell" w:hAnsi="Rockwell"/>
          <w:sz w:val="22"/>
          <w:szCs w:val="22"/>
        </w:rPr>
        <w:t xml:space="preserve">Faculty </w:t>
      </w:r>
      <w:r w:rsidR="00BB4EF8" w:rsidRPr="004F387A">
        <w:rPr>
          <w:rFonts w:ascii="Rockwell" w:hAnsi="Rockwell"/>
          <w:sz w:val="22"/>
          <w:szCs w:val="22"/>
        </w:rPr>
        <w:t xml:space="preserve">to which the module belongs.  </w:t>
      </w:r>
    </w:p>
    <w:p w14:paraId="4477B1BF" w14:textId="68353E8F" w:rsidR="00354CB1" w:rsidRPr="00D61613" w:rsidRDefault="00BB4EF8" w:rsidP="004F387A">
      <w:pPr>
        <w:numPr>
          <w:ilvl w:val="0"/>
          <w:numId w:val="16"/>
        </w:numPr>
        <w:ind w:left="709" w:hanging="283"/>
        <w:jc w:val="both"/>
        <w:rPr>
          <w:rFonts w:ascii="Rockwell" w:hAnsi="Rockwell"/>
          <w:sz w:val="22"/>
          <w:szCs w:val="22"/>
        </w:rPr>
      </w:pPr>
      <w:r>
        <w:rPr>
          <w:rFonts w:ascii="Rockwell" w:hAnsi="Rockwell"/>
          <w:sz w:val="22"/>
          <w:szCs w:val="22"/>
        </w:rPr>
        <w:t>The Head</w:t>
      </w:r>
      <w:r w:rsidR="006604D4">
        <w:rPr>
          <w:rFonts w:ascii="Rockwell" w:hAnsi="Rockwell"/>
          <w:sz w:val="22"/>
          <w:szCs w:val="22"/>
        </w:rPr>
        <w:t xml:space="preserve"> or Deputy Head</w:t>
      </w:r>
      <w:r>
        <w:rPr>
          <w:rFonts w:ascii="Rockwell" w:hAnsi="Rockwell"/>
          <w:sz w:val="22"/>
          <w:szCs w:val="22"/>
        </w:rPr>
        <w:t xml:space="preserve"> of the Conduct &amp;</w:t>
      </w:r>
      <w:r w:rsidRPr="00D61613">
        <w:rPr>
          <w:rFonts w:ascii="Rockwell" w:hAnsi="Rockwell"/>
          <w:sz w:val="22"/>
          <w:szCs w:val="22"/>
        </w:rPr>
        <w:t xml:space="preserve"> Appeals Unit</w:t>
      </w:r>
    </w:p>
    <w:p w14:paraId="01D040B1" w14:textId="5DADE04B" w:rsidR="00BB4EF8" w:rsidRPr="004F387A" w:rsidRDefault="00BB4EF8" w:rsidP="004F387A">
      <w:pPr>
        <w:numPr>
          <w:ilvl w:val="0"/>
          <w:numId w:val="16"/>
        </w:numPr>
        <w:ind w:left="709" w:hanging="283"/>
        <w:jc w:val="both"/>
        <w:rPr>
          <w:rFonts w:ascii="Rockwell" w:hAnsi="Rockwell"/>
          <w:sz w:val="22"/>
          <w:szCs w:val="22"/>
        </w:rPr>
      </w:pPr>
      <w:r w:rsidRPr="004F387A">
        <w:rPr>
          <w:rFonts w:ascii="Rockwell" w:hAnsi="Rockwell"/>
          <w:sz w:val="22"/>
          <w:szCs w:val="22"/>
        </w:rPr>
        <w:t>Student (and friend)</w:t>
      </w:r>
    </w:p>
    <w:p w14:paraId="2D4E69E5" w14:textId="77777777" w:rsidR="00BB4EF8" w:rsidRPr="00D61613" w:rsidRDefault="00BB4EF8" w:rsidP="004F387A">
      <w:pPr>
        <w:numPr>
          <w:ilvl w:val="0"/>
          <w:numId w:val="16"/>
        </w:numPr>
        <w:ind w:left="709" w:hanging="283"/>
        <w:jc w:val="both"/>
        <w:rPr>
          <w:rFonts w:ascii="Rockwell" w:hAnsi="Rockwell"/>
          <w:sz w:val="22"/>
          <w:szCs w:val="22"/>
        </w:rPr>
      </w:pPr>
      <w:r w:rsidRPr="00D61613">
        <w:rPr>
          <w:rFonts w:ascii="Rockwell" w:hAnsi="Rockwell"/>
          <w:sz w:val="22"/>
          <w:szCs w:val="22"/>
        </w:rPr>
        <w:lastRenderedPageBreak/>
        <w:t>Note taker to provide a summary of the meeting (provided by the Conduct and Appeals Unit</w:t>
      </w:r>
      <w:r w:rsidR="006604D4">
        <w:rPr>
          <w:rFonts w:ascii="Rockwell" w:hAnsi="Rockwell"/>
          <w:sz w:val="22"/>
          <w:szCs w:val="22"/>
        </w:rPr>
        <w:t>, on request</w:t>
      </w:r>
      <w:r w:rsidRPr="00D61613">
        <w:rPr>
          <w:rFonts w:ascii="Rockwell" w:hAnsi="Rockwell"/>
          <w:sz w:val="22"/>
          <w:szCs w:val="22"/>
        </w:rPr>
        <w:t>)</w:t>
      </w:r>
    </w:p>
    <w:p w14:paraId="34413463" w14:textId="77777777" w:rsidR="00BB4EF8" w:rsidRPr="00D61613" w:rsidRDefault="00BB4EF8" w:rsidP="009E2FD6">
      <w:pPr>
        <w:jc w:val="both"/>
        <w:rPr>
          <w:rFonts w:ascii="Rockwell" w:hAnsi="Rockwell"/>
          <w:sz w:val="22"/>
          <w:szCs w:val="22"/>
        </w:rPr>
      </w:pPr>
    </w:p>
    <w:p w14:paraId="44837B4D" w14:textId="7282901C" w:rsidR="00BB4EF8" w:rsidRPr="00D61613" w:rsidRDefault="006604D4" w:rsidP="009E2FD6">
      <w:pPr>
        <w:jc w:val="both"/>
        <w:rPr>
          <w:rFonts w:ascii="Rockwell" w:hAnsi="Rockwell"/>
          <w:sz w:val="22"/>
          <w:szCs w:val="22"/>
        </w:rPr>
      </w:pPr>
      <w:r>
        <w:rPr>
          <w:rFonts w:ascii="Rockwell" w:hAnsi="Rockwell"/>
          <w:sz w:val="22"/>
          <w:szCs w:val="22"/>
        </w:rPr>
        <w:t>During the meeting t</w:t>
      </w:r>
      <w:r w:rsidR="00BB4EF8" w:rsidRPr="00D61613">
        <w:rPr>
          <w:rFonts w:ascii="Rockwell" w:hAnsi="Rockwell"/>
          <w:sz w:val="22"/>
          <w:szCs w:val="22"/>
        </w:rPr>
        <w:t>he student will be given the opportunity to discuss with the panel the circumstances which have led to the assessment which is at the centre of the allegation.  The standard and burden of proof is for the Uni</w:t>
      </w:r>
      <w:r w:rsidR="00BB4EF8">
        <w:rPr>
          <w:rFonts w:ascii="Rockwell" w:hAnsi="Rockwell"/>
          <w:sz w:val="22"/>
          <w:szCs w:val="22"/>
        </w:rPr>
        <w:t>versity to prove the allegation</w:t>
      </w:r>
      <w:r w:rsidR="00BB4EF8" w:rsidRPr="00D61613">
        <w:rPr>
          <w:rFonts w:ascii="Rockwell" w:hAnsi="Rockwell"/>
          <w:sz w:val="22"/>
          <w:szCs w:val="22"/>
        </w:rPr>
        <w:t xml:space="preserve">(s) of misconduct and if on the available evidence it is more likely than not that misconduct has occurred then the burden and standard of proof is fulfilled and a penalty will be imposed as appropriate.  </w:t>
      </w:r>
    </w:p>
    <w:p w14:paraId="031E21CD" w14:textId="77777777" w:rsidR="00BB4EF8" w:rsidRPr="00D61613" w:rsidRDefault="00BB4EF8" w:rsidP="009E2FD6">
      <w:pPr>
        <w:jc w:val="both"/>
        <w:rPr>
          <w:rFonts w:ascii="Rockwell" w:hAnsi="Rockwell"/>
          <w:sz w:val="22"/>
          <w:szCs w:val="22"/>
        </w:rPr>
      </w:pPr>
    </w:p>
    <w:p w14:paraId="36036D5F" w14:textId="3E5A5EE7" w:rsidR="00BB4EF8" w:rsidRPr="00D61613" w:rsidRDefault="00910427" w:rsidP="009E2FD6">
      <w:pPr>
        <w:jc w:val="both"/>
        <w:rPr>
          <w:rFonts w:ascii="Rockwell" w:hAnsi="Rockwell"/>
          <w:sz w:val="22"/>
          <w:szCs w:val="22"/>
        </w:rPr>
      </w:pPr>
      <w:r w:rsidRPr="00910427">
        <w:rPr>
          <w:rFonts w:ascii="Rockwell" w:hAnsi="Rockwell"/>
          <w:sz w:val="22"/>
          <w:szCs w:val="22"/>
        </w:rPr>
        <w:t xml:space="preserve">The student will be informed in writing of the outcome of the </w:t>
      </w:r>
      <w:r>
        <w:rPr>
          <w:rFonts w:ascii="Rockwell" w:hAnsi="Rockwell"/>
          <w:sz w:val="22"/>
          <w:szCs w:val="22"/>
        </w:rPr>
        <w:t>hearing</w:t>
      </w:r>
      <w:r w:rsidRPr="00910427">
        <w:rPr>
          <w:rFonts w:ascii="Rockwell" w:hAnsi="Rockwell"/>
          <w:sz w:val="22"/>
          <w:szCs w:val="22"/>
        </w:rPr>
        <w:t xml:space="preserve"> by the Head or Deputy Head of the Conduct and Appeals Unit by post and to their University email account.  The letter will confirm whether or not the Panel found the case proven and if so why.  It will clearly state the penalty to be imposed and may also contain further advice where appropriate.</w:t>
      </w:r>
      <w:r>
        <w:rPr>
          <w:rFonts w:ascii="Rockwell" w:hAnsi="Rockwell"/>
          <w:sz w:val="22"/>
          <w:szCs w:val="22"/>
        </w:rPr>
        <w:t xml:space="preserve"> </w:t>
      </w:r>
      <w:r w:rsidR="00BB4EF8" w:rsidRPr="00D61613">
        <w:rPr>
          <w:rFonts w:ascii="Rockwell" w:hAnsi="Rockwell"/>
          <w:sz w:val="22"/>
          <w:szCs w:val="22"/>
        </w:rPr>
        <w:t xml:space="preserve">This will normally be </w:t>
      </w:r>
      <w:r>
        <w:rPr>
          <w:rFonts w:ascii="Rockwell" w:hAnsi="Rockwell"/>
          <w:sz w:val="22"/>
          <w:szCs w:val="22"/>
        </w:rPr>
        <w:t xml:space="preserve">sent </w:t>
      </w:r>
      <w:r w:rsidR="00BB4EF8" w:rsidRPr="00D61613">
        <w:rPr>
          <w:rFonts w:ascii="Rockwell" w:hAnsi="Rockwell"/>
          <w:sz w:val="22"/>
          <w:szCs w:val="22"/>
        </w:rPr>
        <w:t>within seven working days.  It must be noted that at busy times of the academic year there may be delays</w:t>
      </w:r>
      <w:r w:rsidR="00D3104D">
        <w:rPr>
          <w:rFonts w:ascii="Rockwell" w:hAnsi="Rockwell"/>
          <w:sz w:val="22"/>
          <w:szCs w:val="22"/>
        </w:rPr>
        <w:t xml:space="preserve">. </w:t>
      </w:r>
      <w:r w:rsidR="00F6689C">
        <w:rPr>
          <w:rFonts w:ascii="Rockwell" w:hAnsi="Rockwell"/>
          <w:sz w:val="22"/>
          <w:szCs w:val="22"/>
        </w:rPr>
        <w:t>In these circumstances the student will be notified by email to their University email account of any delay, within the seven working day deadline.</w:t>
      </w:r>
    </w:p>
    <w:p w14:paraId="3C879C52" w14:textId="77777777" w:rsidR="00BB4EF8" w:rsidRDefault="00BB4EF8" w:rsidP="009E2FD6">
      <w:pPr>
        <w:jc w:val="both"/>
        <w:rPr>
          <w:rFonts w:ascii="Rockwell" w:hAnsi="Rockwell"/>
          <w:sz w:val="22"/>
          <w:szCs w:val="22"/>
        </w:rPr>
      </w:pPr>
    </w:p>
    <w:tbl>
      <w:tblPr>
        <w:tblW w:w="0" w:type="auto"/>
        <w:tblLook w:val="01E0" w:firstRow="1" w:lastRow="1" w:firstColumn="1" w:lastColumn="1" w:noHBand="0" w:noVBand="0"/>
      </w:tblPr>
      <w:tblGrid>
        <w:gridCol w:w="3794"/>
        <w:gridCol w:w="4728"/>
      </w:tblGrid>
      <w:tr w:rsidR="002D6204" w:rsidRPr="00554FE9" w14:paraId="0BD62BB4" w14:textId="77777777" w:rsidTr="009B7E2C">
        <w:tc>
          <w:tcPr>
            <w:tcW w:w="3794" w:type="dxa"/>
            <w:shd w:val="clear" w:color="auto" w:fill="000000"/>
          </w:tcPr>
          <w:p w14:paraId="3984D938" w14:textId="77777777" w:rsidR="002D6204" w:rsidRPr="009B7E2C" w:rsidRDefault="002D6204" w:rsidP="009B7E2C">
            <w:pPr>
              <w:autoSpaceDE w:val="0"/>
              <w:autoSpaceDN w:val="0"/>
              <w:adjustRightInd w:val="0"/>
              <w:jc w:val="both"/>
              <w:rPr>
                <w:rFonts w:ascii="Rockwell" w:hAnsi="Rockwell" w:cs="Rockwell"/>
                <w:b/>
                <w:color w:val="FFFFFF" w:themeColor="background1"/>
                <w:sz w:val="22"/>
                <w:szCs w:val="22"/>
                <w:lang w:eastAsia="en-GB"/>
              </w:rPr>
            </w:pPr>
            <w:r w:rsidRPr="00554FE9">
              <w:rPr>
                <w:rFonts w:ascii="Rockwell" w:hAnsi="Rockwell"/>
                <w:b/>
                <w:bCs/>
              </w:rPr>
              <w:t>THE STAGE ONE HEARING:</w:t>
            </w:r>
          </w:p>
          <w:p w14:paraId="388E149B" w14:textId="77777777" w:rsidR="002D6204" w:rsidRPr="00554FE9" w:rsidRDefault="001643D9" w:rsidP="00F20617">
            <w:pPr>
              <w:tabs>
                <w:tab w:val="left" w:pos="2775"/>
                <w:tab w:val="left" w:pos="3300"/>
              </w:tabs>
              <w:jc w:val="both"/>
              <w:rPr>
                <w:rFonts w:ascii="Rockwell" w:hAnsi="Rockwell"/>
                <w:b/>
                <w:bCs/>
              </w:rPr>
            </w:pPr>
            <w:r>
              <w:rPr>
                <w:rFonts w:ascii="Rockwell" w:hAnsi="Rockwell"/>
                <w:b/>
                <w:bCs/>
              </w:rPr>
              <w:t xml:space="preserve">by </w:t>
            </w:r>
            <w:r w:rsidR="00F20617">
              <w:rPr>
                <w:rFonts w:ascii="Rockwell" w:hAnsi="Rockwell"/>
                <w:b/>
                <w:bCs/>
              </w:rPr>
              <w:t>c</w:t>
            </w:r>
            <w:r>
              <w:rPr>
                <w:rFonts w:ascii="Rockwell" w:hAnsi="Rockwell"/>
                <w:b/>
                <w:bCs/>
              </w:rPr>
              <w:t>orrespondence</w:t>
            </w:r>
          </w:p>
        </w:tc>
        <w:tc>
          <w:tcPr>
            <w:tcW w:w="4728" w:type="dxa"/>
            <w:shd w:val="clear" w:color="auto" w:fill="D9D9D9"/>
          </w:tcPr>
          <w:p w14:paraId="3DB9614A" w14:textId="77777777" w:rsidR="002D6204" w:rsidRPr="00554FE9" w:rsidRDefault="002D6204" w:rsidP="00A10547">
            <w:pPr>
              <w:jc w:val="both"/>
              <w:rPr>
                <w:rFonts w:ascii="Rockwell" w:hAnsi="Rockwell"/>
                <w:b/>
              </w:rPr>
            </w:pPr>
            <w:r w:rsidRPr="009B7E2C">
              <w:rPr>
                <w:rFonts w:ascii="Rockwell" w:hAnsi="Rockwell" w:cs="Rockwell"/>
                <w:b/>
                <w:sz w:val="22"/>
                <w:szCs w:val="22"/>
                <w:lang w:eastAsia="en-GB"/>
              </w:rPr>
              <w:t xml:space="preserve">For </w:t>
            </w:r>
            <w:r>
              <w:rPr>
                <w:rFonts w:ascii="Rockwell" w:hAnsi="Rockwell" w:cs="Rockwell"/>
                <w:b/>
                <w:sz w:val="22"/>
                <w:szCs w:val="22"/>
                <w:lang w:eastAsia="en-GB"/>
              </w:rPr>
              <w:t>s</w:t>
            </w:r>
            <w:r w:rsidRPr="009B7E2C">
              <w:rPr>
                <w:rFonts w:ascii="Rockwell" w:hAnsi="Rockwell" w:cs="Rockwell"/>
                <w:b/>
                <w:sz w:val="22"/>
                <w:szCs w:val="22"/>
                <w:lang w:eastAsia="en-GB"/>
              </w:rPr>
              <w:t xml:space="preserve">tudents </w:t>
            </w:r>
            <w:r>
              <w:rPr>
                <w:rFonts w:ascii="Rockwell" w:hAnsi="Rockwell" w:cs="Rockwell"/>
                <w:b/>
                <w:sz w:val="22"/>
                <w:szCs w:val="22"/>
                <w:lang w:eastAsia="en-GB"/>
              </w:rPr>
              <w:t>studying overseas, distance learners and students at partner institutions.</w:t>
            </w:r>
          </w:p>
        </w:tc>
      </w:tr>
    </w:tbl>
    <w:p w14:paraId="3257475F" w14:textId="77777777" w:rsidR="002D6204" w:rsidRPr="00D61613" w:rsidRDefault="002D6204" w:rsidP="009E2FD6">
      <w:pPr>
        <w:jc w:val="both"/>
        <w:rPr>
          <w:rFonts w:ascii="Rockwell" w:hAnsi="Rockwell"/>
          <w:sz w:val="22"/>
          <w:szCs w:val="22"/>
        </w:rPr>
      </w:pPr>
    </w:p>
    <w:p w14:paraId="5959DD14" w14:textId="56655BA6" w:rsidR="00A10547" w:rsidRDefault="002D6204" w:rsidP="00A10547">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Faculty Administrator will write to the student on behalf of the Chair of the Academic Misconduct Panel.  The letter will clearly state the allegation that is being made and identify in which piece of assessment the offence has allegedly been committed.  The letter will provide details of </w:t>
      </w:r>
      <w:r w:rsidR="00910427">
        <w:rPr>
          <w:rFonts w:ascii="Rockwell" w:hAnsi="Rockwell" w:cs="Rockwell"/>
          <w:color w:val="000000"/>
          <w:sz w:val="22"/>
          <w:szCs w:val="22"/>
          <w:lang w:eastAsia="en-GB"/>
        </w:rPr>
        <w:t xml:space="preserve">the </w:t>
      </w:r>
      <w:r>
        <w:rPr>
          <w:rFonts w:ascii="Rockwell" w:hAnsi="Rockwell" w:cs="Rockwell"/>
          <w:color w:val="000000"/>
          <w:sz w:val="22"/>
          <w:szCs w:val="22"/>
          <w:lang w:eastAsia="en-GB"/>
        </w:rPr>
        <w:t>grounds for suspicion and will offer the student the opportunity to respond in writing.</w:t>
      </w:r>
      <w:r w:rsidR="00A10547" w:rsidRPr="00A10547">
        <w:rPr>
          <w:rFonts w:ascii="Rockwell" w:hAnsi="Rockwell" w:cs="Rockwell"/>
          <w:color w:val="000000"/>
          <w:sz w:val="22"/>
          <w:szCs w:val="22"/>
          <w:lang w:eastAsia="en-GB"/>
        </w:rPr>
        <w:t xml:space="preserve"> </w:t>
      </w:r>
      <w:r w:rsidR="00F20617">
        <w:rPr>
          <w:rFonts w:ascii="Rockwell" w:hAnsi="Rockwell" w:cs="Rockwell"/>
          <w:color w:val="000000"/>
          <w:sz w:val="22"/>
          <w:szCs w:val="22"/>
          <w:lang w:eastAsia="en-GB"/>
        </w:rPr>
        <w:t>The</w:t>
      </w:r>
      <w:r w:rsidR="00A10547">
        <w:rPr>
          <w:rFonts w:ascii="Rockwell" w:hAnsi="Rockwell" w:cs="Rockwell"/>
          <w:color w:val="000000"/>
          <w:sz w:val="22"/>
          <w:szCs w:val="22"/>
          <w:lang w:eastAsia="en-GB"/>
        </w:rPr>
        <w:t xml:space="preserve"> let</w:t>
      </w:r>
      <w:r w:rsidR="00F20617">
        <w:rPr>
          <w:rFonts w:ascii="Rockwell" w:hAnsi="Rockwell" w:cs="Rockwell"/>
          <w:color w:val="000000"/>
          <w:sz w:val="22"/>
          <w:szCs w:val="22"/>
          <w:lang w:eastAsia="en-GB"/>
        </w:rPr>
        <w:t xml:space="preserve">ter will be sent to the Student by post and to their </w:t>
      </w:r>
      <w:r w:rsidR="00A10547">
        <w:rPr>
          <w:rFonts w:ascii="Rockwell" w:hAnsi="Rockwell" w:cs="Rockwell"/>
          <w:color w:val="000000"/>
          <w:sz w:val="22"/>
          <w:szCs w:val="22"/>
          <w:lang w:eastAsia="en-GB"/>
        </w:rPr>
        <w:t xml:space="preserve">University email account. A standard </w:t>
      </w:r>
      <w:r w:rsidR="00D47E90">
        <w:rPr>
          <w:rFonts w:ascii="Rockwell" w:hAnsi="Rockwell" w:cs="Rockwell"/>
          <w:color w:val="000000"/>
          <w:sz w:val="22"/>
          <w:szCs w:val="22"/>
          <w:lang w:eastAsia="en-GB"/>
        </w:rPr>
        <w:t>template</w:t>
      </w:r>
      <w:r w:rsidR="00A10547">
        <w:rPr>
          <w:rFonts w:ascii="Rockwell" w:hAnsi="Rockwell" w:cs="Rockwell"/>
          <w:color w:val="000000"/>
          <w:sz w:val="22"/>
          <w:szCs w:val="22"/>
          <w:lang w:eastAsia="en-GB"/>
        </w:rPr>
        <w:t>, must be used</w:t>
      </w:r>
      <w:r w:rsidR="00D47E90">
        <w:rPr>
          <w:rFonts w:ascii="Rockwell" w:hAnsi="Rockwell" w:cs="Rockwell"/>
          <w:color w:val="000000"/>
          <w:sz w:val="22"/>
          <w:szCs w:val="22"/>
          <w:lang w:eastAsia="en-GB"/>
        </w:rPr>
        <w:t>,</w:t>
      </w:r>
      <w:r w:rsidR="00D47E90" w:rsidRPr="00D47E90">
        <w:rPr>
          <w:rFonts w:ascii="Rockwell" w:hAnsi="Rockwell" w:cs="Rockwell"/>
          <w:color w:val="000000"/>
          <w:sz w:val="22"/>
          <w:szCs w:val="22"/>
          <w:lang w:eastAsia="en-GB"/>
        </w:rPr>
        <w:t xml:space="preserve"> </w:t>
      </w:r>
      <w:r w:rsidR="00D47E90">
        <w:rPr>
          <w:rFonts w:ascii="Rockwell" w:hAnsi="Rockwell" w:cs="Rockwell"/>
          <w:color w:val="000000"/>
          <w:sz w:val="22"/>
          <w:szCs w:val="22"/>
          <w:lang w:eastAsia="en-GB"/>
        </w:rPr>
        <w:t>which</w:t>
      </w:r>
      <w:r w:rsidR="00A10547">
        <w:rPr>
          <w:rFonts w:ascii="Rockwell" w:hAnsi="Rockwell" w:cs="Rockwell"/>
          <w:color w:val="000000"/>
          <w:sz w:val="22"/>
          <w:szCs w:val="22"/>
          <w:lang w:eastAsia="en-GB"/>
        </w:rPr>
        <w:t xml:space="preserve"> will be provided by the Conduct &amp; Appeals Unit.</w:t>
      </w:r>
    </w:p>
    <w:p w14:paraId="678332BD" w14:textId="77777777" w:rsidR="002D6204" w:rsidRDefault="002D6204" w:rsidP="002D6204">
      <w:pPr>
        <w:autoSpaceDE w:val="0"/>
        <w:autoSpaceDN w:val="0"/>
        <w:adjustRightInd w:val="0"/>
        <w:jc w:val="both"/>
        <w:rPr>
          <w:rFonts w:ascii="Rockwell" w:hAnsi="Rockwell" w:cs="Rockwell"/>
          <w:color w:val="000000"/>
          <w:sz w:val="22"/>
          <w:szCs w:val="22"/>
          <w:lang w:eastAsia="en-GB"/>
        </w:rPr>
      </w:pPr>
    </w:p>
    <w:p w14:paraId="2F3E5AC5" w14:textId="77777777" w:rsidR="002D6204" w:rsidRDefault="002D6204" w:rsidP="002D6204">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The student will be given at least 14 days to respond to the allegation.</w:t>
      </w:r>
    </w:p>
    <w:p w14:paraId="062D16CE" w14:textId="77777777" w:rsidR="002D6204" w:rsidRDefault="002D6204" w:rsidP="002D6204">
      <w:pPr>
        <w:autoSpaceDE w:val="0"/>
        <w:autoSpaceDN w:val="0"/>
        <w:adjustRightInd w:val="0"/>
        <w:jc w:val="both"/>
        <w:rPr>
          <w:rFonts w:ascii="Rockwell" w:hAnsi="Rockwell" w:cs="Rockwell"/>
          <w:color w:val="000000"/>
          <w:sz w:val="22"/>
          <w:szCs w:val="22"/>
          <w:lang w:eastAsia="en-GB"/>
        </w:rPr>
      </w:pPr>
    </w:p>
    <w:p w14:paraId="0AD08B25" w14:textId="77777777" w:rsidR="002D6204" w:rsidRDefault="002D6204" w:rsidP="002D6204">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letter will contain a statement in relation to the standard of proof to be applied. The standard and burden of proof is for the University to prove the allegation(s) of misconduct and if on the available evidence it is more likely than not that misconduct has occurred then the burden and standard of proof is fulfilled and a penalty will be imposed as appropriate. </w:t>
      </w:r>
    </w:p>
    <w:p w14:paraId="7D76C7A8" w14:textId="77777777" w:rsidR="00A10547" w:rsidRDefault="00A10547" w:rsidP="002D6204">
      <w:pPr>
        <w:autoSpaceDE w:val="0"/>
        <w:autoSpaceDN w:val="0"/>
        <w:adjustRightInd w:val="0"/>
        <w:jc w:val="both"/>
        <w:rPr>
          <w:rFonts w:ascii="Rockwell" w:hAnsi="Rockwell" w:cs="Rockwell"/>
          <w:color w:val="000000"/>
          <w:sz w:val="22"/>
          <w:szCs w:val="22"/>
          <w:lang w:eastAsia="en-GB"/>
        </w:rPr>
      </w:pPr>
    </w:p>
    <w:p w14:paraId="50D6613B" w14:textId="77777777" w:rsidR="002D6204" w:rsidRDefault="002D6204" w:rsidP="002D6204">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student will be provided with </w:t>
      </w:r>
      <w:r w:rsidR="00A10547">
        <w:rPr>
          <w:rFonts w:ascii="Rockwell" w:hAnsi="Rockwell" w:cs="Rockwell"/>
          <w:color w:val="000000"/>
          <w:sz w:val="22"/>
          <w:szCs w:val="22"/>
          <w:lang w:eastAsia="en-GB"/>
        </w:rPr>
        <w:t xml:space="preserve">specific </w:t>
      </w:r>
      <w:r>
        <w:rPr>
          <w:rFonts w:ascii="Rockwell" w:hAnsi="Rockwell" w:cs="Rockwell"/>
          <w:color w:val="000000"/>
          <w:sz w:val="22"/>
          <w:szCs w:val="22"/>
          <w:lang w:eastAsia="en-GB"/>
        </w:rPr>
        <w:t xml:space="preserve">information about </w:t>
      </w:r>
      <w:r w:rsidR="00A10547">
        <w:rPr>
          <w:rFonts w:ascii="Rockwell" w:hAnsi="Rockwell" w:cs="Rockwell"/>
          <w:color w:val="000000"/>
          <w:sz w:val="22"/>
          <w:szCs w:val="22"/>
          <w:lang w:eastAsia="en-GB"/>
        </w:rPr>
        <w:t>how</w:t>
      </w:r>
      <w:r>
        <w:rPr>
          <w:rFonts w:ascii="Rockwell" w:hAnsi="Rockwell" w:cs="Rockwell"/>
          <w:color w:val="000000"/>
          <w:sz w:val="22"/>
          <w:szCs w:val="22"/>
          <w:lang w:eastAsia="en-GB"/>
        </w:rPr>
        <w:t xml:space="preserve"> academic misconduct </w:t>
      </w:r>
      <w:r w:rsidR="00A10547">
        <w:rPr>
          <w:rFonts w:ascii="Rockwell" w:hAnsi="Rockwell" w:cs="Rockwell"/>
          <w:color w:val="000000"/>
          <w:sz w:val="22"/>
          <w:szCs w:val="22"/>
          <w:lang w:eastAsia="en-GB"/>
        </w:rPr>
        <w:t>investigations are conducted by correspondence,</w:t>
      </w:r>
      <w:r w:rsidR="00A10547" w:rsidRPr="00A10547">
        <w:rPr>
          <w:rFonts w:ascii="Rockwell" w:hAnsi="Rockwell" w:cs="Rockwell"/>
          <w:color w:val="000000"/>
          <w:sz w:val="22"/>
          <w:szCs w:val="22"/>
          <w:lang w:eastAsia="en-GB"/>
        </w:rPr>
        <w:t xml:space="preserve"> </w:t>
      </w:r>
      <w:r w:rsidR="00A10547">
        <w:rPr>
          <w:rFonts w:ascii="Rockwell" w:hAnsi="Rockwell" w:cs="Rockwell"/>
          <w:color w:val="000000"/>
          <w:sz w:val="22"/>
          <w:szCs w:val="22"/>
          <w:lang w:eastAsia="en-GB"/>
        </w:rPr>
        <w:t>to assist them in the preparation of their written response.</w:t>
      </w:r>
    </w:p>
    <w:p w14:paraId="4B5CEF2C" w14:textId="77777777" w:rsidR="002D6204" w:rsidRDefault="002D6204" w:rsidP="002D6204">
      <w:pPr>
        <w:autoSpaceDE w:val="0"/>
        <w:autoSpaceDN w:val="0"/>
        <w:adjustRightInd w:val="0"/>
        <w:jc w:val="both"/>
        <w:rPr>
          <w:rFonts w:ascii="Rockwell" w:hAnsi="Rockwell" w:cs="Rockwell"/>
          <w:color w:val="000000"/>
          <w:sz w:val="22"/>
          <w:szCs w:val="22"/>
          <w:lang w:eastAsia="en-GB"/>
        </w:rPr>
      </w:pPr>
    </w:p>
    <w:p w14:paraId="6D3C4685" w14:textId="4529CC32" w:rsidR="00A10547" w:rsidRDefault="00A10547" w:rsidP="002D6204">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Students will be advised to contact the Students’ Union for advice and support.</w:t>
      </w:r>
      <w:r w:rsidRPr="00A10547">
        <w:rPr>
          <w:rFonts w:ascii="Rockwell" w:hAnsi="Rockwell" w:cs="Rockwell"/>
          <w:color w:val="000000"/>
          <w:sz w:val="22"/>
          <w:szCs w:val="22"/>
          <w:lang w:eastAsia="en-GB"/>
        </w:rPr>
        <w:t xml:space="preserve"> </w:t>
      </w:r>
      <w:r w:rsidR="00EB5F55">
        <w:rPr>
          <w:rFonts w:ascii="Rockwell" w:hAnsi="Rockwell" w:cs="Rockwell"/>
          <w:color w:val="000000"/>
          <w:sz w:val="22"/>
          <w:szCs w:val="22"/>
          <w:lang w:eastAsia="en-GB"/>
        </w:rPr>
        <w:t xml:space="preserve">The Students’ Union Advice &amp; Support Centre can be contacted </w:t>
      </w:r>
      <w:r w:rsidR="00EB5F55" w:rsidRPr="009E2FD6">
        <w:rPr>
          <w:rFonts w:ascii="Rockwell" w:hAnsi="Rockwell"/>
          <w:bCs/>
          <w:sz w:val="22"/>
          <w:szCs w:val="22"/>
        </w:rPr>
        <w:t xml:space="preserve">via </w:t>
      </w:r>
      <w:r w:rsidR="00EB5F55">
        <w:rPr>
          <w:rFonts w:ascii="Rockwell" w:hAnsi="Rockwell"/>
          <w:bCs/>
          <w:sz w:val="22"/>
          <w:szCs w:val="22"/>
        </w:rPr>
        <w:t xml:space="preserve">email to </w:t>
      </w:r>
      <w:hyperlink r:id="rId15" w:history="1">
        <w:r w:rsidR="00EB5F55" w:rsidRPr="009E2FD6">
          <w:rPr>
            <w:rStyle w:val="Hyperlink"/>
            <w:rFonts w:ascii="Rockwell" w:hAnsi="Rockwell"/>
            <w:sz w:val="22"/>
            <w:szCs w:val="22"/>
          </w:rPr>
          <w:t>advice.wolvesunion@wlv.ac.uk</w:t>
        </w:r>
      </w:hyperlink>
      <w:r w:rsidR="00EB5F55" w:rsidRPr="009E2FD6">
        <w:rPr>
          <w:rFonts w:ascii="Rockwell" w:hAnsi="Rockwell"/>
          <w:color w:val="1F497D"/>
          <w:sz w:val="22"/>
          <w:szCs w:val="22"/>
        </w:rPr>
        <w:t xml:space="preserve"> </w:t>
      </w:r>
      <w:r w:rsidR="00EB5F55">
        <w:rPr>
          <w:rFonts w:ascii="Rockwell" w:hAnsi="Rockwell"/>
          <w:sz w:val="22"/>
          <w:szCs w:val="22"/>
        </w:rPr>
        <w:t xml:space="preserve">or by calling 01902 322038. Details of the </w:t>
      </w:r>
      <w:r w:rsidR="00EB5F55">
        <w:rPr>
          <w:rFonts w:ascii="Rockwell" w:hAnsi="Rockwell" w:cs="Rockwell"/>
          <w:color w:val="000000"/>
          <w:sz w:val="22"/>
          <w:szCs w:val="22"/>
          <w:lang w:eastAsia="en-GB"/>
        </w:rPr>
        <w:t xml:space="preserve">Students Union Representation Service are available on their website: </w:t>
      </w:r>
      <w:hyperlink r:id="rId16" w:history="1">
        <w:r w:rsidR="00637A49" w:rsidRPr="000F2EBD">
          <w:rPr>
            <w:rStyle w:val="Hyperlink"/>
            <w:rFonts w:ascii="Rockwell" w:hAnsi="Rockwell" w:cs="Rockwell"/>
            <w:sz w:val="22"/>
            <w:szCs w:val="22"/>
            <w:lang w:eastAsia="en-GB"/>
          </w:rPr>
          <w:t>www.wolvesunion.org</w:t>
        </w:r>
      </w:hyperlink>
      <w:r w:rsidR="00637A49">
        <w:rPr>
          <w:rFonts w:ascii="Rockwell" w:hAnsi="Rockwell" w:cs="Rockwell"/>
          <w:sz w:val="22"/>
          <w:szCs w:val="22"/>
          <w:lang w:eastAsia="en-GB"/>
        </w:rPr>
        <w:t xml:space="preserve"> </w:t>
      </w:r>
      <w:r w:rsidR="00637A49">
        <w:rPr>
          <w:rFonts w:ascii="Rockwell" w:hAnsi="Rockwell" w:cs="Rockwell"/>
          <w:color w:val="000000"/>
          <w:sz w:val="22"/>
          <w:szCs w:val="22"/>
          <w:lang w:eastAsia="en-GB"/>
        </w:rPr>
        <w:t xml:space="preserve">and will </w:t>
      </w:r>
      <w:r w:rsidR="00EB5F55">
        <w:rPr>
          <w:rFonts w:ascii="Rockwell" w:hAnsi="Rockwell" w:cs="Rockwell"/>
          <w:color w:val="000000"/>
          <w:sz w:val="22"/>
          <w:szCs w:val="22"/>
          <w:lang w:eastAsia="en-GB"/>
        </w:rPr>
        <w:t>be included in the invite letter.</w:t>
      </w:r>
    </w:p>
    <w:p w14:paraId="5384E3CE" w14:textId="77777777" w:rsidR="00EB5F55" w:rsidRDefault="00EB5F55" w:rsidP="002D6204">
      <w:pPr>
        <w:autoSpaceDE w:val="0"/>
        <w:autoSpaceDN w:val="0"/>
        <w:adjustRightInd w:val="0"/>
        <w:jc w:val="both"/>
        <w:rPr>
          <w:rFonts w:ascii="Rockwell" w:hAnsi="Rockwell" w:cs="Rockwell"/>
          <w:color w:val="000000"/>
          <w:sz w:val="22"/>
          <w:szCs w:val="22"/>
          <w:lang w:eastAsia="en-GB"/>
        </w:rPr>
      </w:pPr>
    </w:p>
    <w:p w14:paraId="3C6A5567" w14:textId="77777777" w:rsidR="00A10547" w:rsidRDefault="002D6204" w:rsidP="002D6204">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It must be made clear to the student that if they fail to </w:t>
      </w:r>
      <w:r w:rsidR="00A10547">
        <w:rPr>
          <w:rFonts w:ascii="Rockwell" w:hAnsi="Rockwell" w:cs="Rockwell"/>
          <w:color w:val="000000"/>
          <w:sz w:val="22"/>
          <w:szCs w:val="22"/>
          <w:lang w:eastAsia="en-GB"/>
        </w:rPr>
        <w:t>respond</w:t>
      </w:r>
      <w:r>
        <w:rPr>
          <w:rFonts w:ascii="Rockwell" w:hAnsi="Rockwell" w:cs="Rockwell"/>
          <w:color w:val="000000"/>
          <w:sz w:val="22"/>
          <w:szCs w:val="22"/>
          <w:lang w:eastAsia="en-GB"/>
        </w:rPr>
        <w:t xml:space="preserve"> then a decision</w:t>
      </w:r>
      <w:r w:rsidR="00A10547">
        <w:rPr>
          <w:rFonts w:ascii="Rockwell" w:hAnsi="Rockwell" w:cs="Rockwell"/>
          <w:color w:val="000000"/>
          <w:sz w:val="22"/>
          <w:szCs w:val="22"/>
          <w:lang w:eastAsia="en-GB"/>
        </w:rPr>
        <w:t xml:space="preserve"> will be taken based on the available evidence.</w:t>
      </w:r>
    </w:p>
    <w:p w14:paraId="565B1846" w14:textId="77777777" w:rsidR="00A10547" w:rsidRDefault="00A10547" w:rsidP="002D6204">
      <w:pPr>
        <w:autoSpaceDE w:val="0"/>
        <w:autoSpaceDN w:val="0"/>
        <w:adjustRightInd w:val="0"/>
        <w:jc w:val="both"/>
        <w:rPr>
          <w:rFonts w:ascii="Rockwell" w:hAnsi="Rockwell" w:cs="Rockwell"/>
          <w:color w:val="000000"/>
          <w:sz w:val="22"/>
          <w:szCs w:val="22"/>
          <w:lang w:eastAsia="en-GB"/>
        </w:rPr>
      </w:pPr>
    </w:p>
    <w:p w14:paraId="7FBF16AF" w14:textId="22C86419" w:rsidR="002D6204" w:rsidRDefault="00A10547" w:rsidP="002D6204">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Students </w:t>
      </w:r>
      <w:r w:rsidR="00C9534F">
        <w:rPr>
          <w:rFonts w:ascii="Rockwell" w:hAnsi="Rockwell" w:cs="Rockwell"/>
          <w:color w:val="000000"/>
          <w:sz w:val="22"/>
          <w:szCs w:val="22"/>
          <w:lang w:eastAsia="en-GB"/>
        </w:rPr>
        <w:t xml:space="preserve">studying with a Partner Institution </w:t>
      </w:r>
      <w:r>
        <w:rPr>
          <w:rFonts w:ascii="Rockwell" w:hAnsi="Rockwell" w:cs="Rockwell"/>
          <w:color w:val="000000"/>
          <w:sz w:val="22"/>
          <w:szCs w:val="22"/>
          <w:lang w:eastAsia="en-GB"/>
        </w:rPr>
        <w:t xml:space="preserve">who are willing to travel to attend a hearing on </w:t>
      </w:r>
      <w:r w:rsidR="00C9534F">
        <w:rPr>
          <w:rFonts w:ascii="Rockwell" w:hAnsi="Rockwell" w:cs="Rockwell"/>
          <w:color w:val="000000"/>
          <w:sz w:val="22"/>
          <w:szCs w:val="22"/>
          <w:lang w:eastAsia="en-GB"/>
        </w:rPr>
        <w:t xml:space="preserve">University </w:t>
      </w:r>
      <w:r>
        <w:rPr>
          <w:rFonts w:ascii="Rockwell" w:hAnsi="Rockwell" w:cs="Rockwell"/>
          <w:color w:val="000000"/>
          <w:sz w:val="22"/>
          <w:szCs w:val="22"/>
          <w:lang w:eastAsia="en-GB"/>
        </w:rPr>
        <w:t xml:space="preserve">Campus may request to do so. </w:t>
      </w:r>
    </w:p>
    <w:p w14:paraId="60D62EEF" w14:textId="77777777" w:rsidR="002D6204" w:rsidRDefault="002D6204" w:rsidP="002D6204">
      <w:pPr>
        <w:autoSpaceDE w:val="0"/>
        <w:autoSpaceDN w:val="0"/>
        <w:adjustRightInd w:val="0"/>
        <w:jc w:val="both"/>
        <w:rPr>
          <w:rFonts w:ascii="Rockwell" w:hAnsi="Rockwell" w:cs="Rockwell"/>
          <w:color w:val="000000"/>
          <w:sz w:val="22"/>
          <w:szCs w:val="22"/>
          <w:lang w:eastAsia="en-GB"/>
        </w:rPr>
      </w:pPr>
    </w:p>
    <w:p w14:paraId="13D36E4E" w14:textId="77777777" w:rsidR="00BB4EF8" w:rsidRDefault="00A10547" w:rsidP="009E2FD6">
      <w:pPr>
        <w:jc w:val="both"/>
        <w:rPr>
          <w:rFonts w:ascii="Rockwell" w:hAnsi="Rockwell"/>
          <w:sz w:val="22"/>
          <w:szCs w:val="22"/>
        </w:rPr>
      </w:pPr>
      <w:r>
        <w:rPr>
          <w:rFonts w:ascii="Rockwell" w:hAnsi="Rockwell"/>
          <w:sz w:val="22"/>
          <w:szCs w:val="22"/>
        </w:rPr>
        <w:lastRenderedPageBreak/>
        <w:t>The evidence provided by the Faculty and the student</w:t>
      </w:r>
      <w:r w:rsidR="00910427">
        <w:rPr>
          <w:rFonts w:ascii="Rockwell" w:hAnsi="Rockwell"/>
          <w:sz w:val="22"/>
          <w:szCs w:val="22"/>
        </w:rPr>
        <w:t>’</w:t>
      </w:r>
      <w:r>
        <w:rPr>
          <w:rFonts w:ascii="Rockwell" w:hAnsi="Rockwell"/>
          <w:sz w:val="22"/>
          <w:szCs w:val="22"/>
        </w:rPr>
        <w:t>s written response will be reviewed by an Academic Misconduct Panel.</w:t>
      </w:r>
    </w:p>
    <w:p w14:paraId="313B53E5" w14:textId="77777777" w:rsidR="00A10547" w:rsidRDefault="00A10547" w:rsidP="009E2FD6">
      <w:pPr>
        <w:jc w:val="both"/>
        <w:rPr>
          <w:rFonts w:ascii="Rockwell" w:hAnsi="Rockwell"/>
          <w:sz w:val="22"/>
          <w:szCs w:val="22"/>
        </w:rPr>
      </w:pPr>
    </w:p>
    <w:p w14:paraId="4C0E3C73" w14:textId="77777777" w:rsidR="00A10547" w:rsidRDefault="00A10547" w:rsidP="009E2FD6">
      <w:pPr>
        <w:jc w:val="both"/>
        <w:rPr>
          <w:rFonts w:ascii="Rockwell" w:hAnsi="Rockwell"/>
          <w:sz w:val="22"/>
          <w:szCs w:val="22"/>
        </w:rPr>
      </w:pPr>
      <w:r>
        <w:rPr>
          <w:rFonts w:ascii="Rockwell" w:hAnsi="Rockwell"/>
          <w:sz w:val="22"/>
          <w:szCs w:val="22"/>
        </w:rPr>
        <w:t xml:space="preserve">The Panel will consist of </w:t>
      </w:r>
    </w:p>
    <w:p w14:paraId="5931F3D3" w14:textId="77777777" w:rsidR="00A10547" w:rsidRDefault="00A10547" w:rsidP="009E2FD6">
      <w:pPr>
        <w:jc w:val="both"/>
        <w:rPr>
          <w:rFonts w:ascii="Rockwell" w:hAnsi="Rockwell"/>
          <w:sz w:val="22"/>
          <w:szCs w:val="22"/>
        </w:rPr>
      </w:pPr>
    </w:p>
    <w:p w14:paraId="6C63BCA4" w14:textId="77777777" w:rsidR="00A10547" w:rsidRPr="00D61613" w:rsidRDefault="00A10547" w:rsidP="00A10547">
      <w:pPr>
        <w:numPr>
          <w:ilvl w:val="0"/>
          <w:numId w:val="16"/>
        </w:numPr>
        <w:ind w:left="714" w:hanging="357"/>
        <w:jc w:val="both"/>
        <w:rPr>
          <w:rFonts w:ascii="Rockwell" w:hAnsi="Rockwell"/>
          <w:sz w:val="22"/>
          <w:szCs w:val="22"/>
        </w:rPr>
      </w:pPr>
      <w:r>
        <w:rPr>
          <w:rFonts w:ascii="Rockwell" w:hAnsi="Rockwell"/>
          <w:sz w:val="22"/>
          <w:szCs w:val="22"/>
        </w:rPr>
        <w:t>Chair - a</w:t>
      </w:r>
      <w:r w:rsidRPr="00D61613">
        <w:rPr>
          <w:rFonts w:ascii="Rockwell" w:hAnsi="Rockwell"/>
          <w:sz w:val="22"/>
          <w:szCs w:val="22"/>
        </w:rPr>
        <w:t xml:space="preserve"> senior member of academic staff from the </w:t>
      </w:r>
      <w:r>
        <w:rPr>
          <w:rFonts w:ascii="Rockwell" w:hAnsi="Rockwell"/>
          <w:sz w:val="22"/>
          <w:szCs w:val="22"/>
        </w:rPr>
        <w:t>Faculty</w:t>
      </w:r>
      <w:r w:rsidRPr="00D61613">
        <w:rPr>
          <w:rFonts w:ascii="Rockwell" w:hAnsi="Rockwell"/>
          <w:sz w:val="22"/>
          <w:szCs w:val="22"/>
        </w:rPr>
        <w:t xml:space="preserve"> to which the module belongs.  </w:t>
      </w:r>
    </w:p>
    <w:p w14:paraId="0B1434F6" w14:textId="77777777" w:rsidR="00A10547" w:rsidRPr="00D61613" w:rsidRDefault="00A10547" w:rsidP="00A10547">
      <w:pPr>
        <w:numPr>
          <w:ilvl w:val="0"/>
          <w:numId w:val="16"/>
        </w:numPr>
        <w:ind w:left="714" w:hanging="357"/>
        <w:jc w:val="both"/>
        <w:rPr>
          <w:rFonts w:ascii="Rockwell" w:hAnsi="Rockwell"/>
          <w:sz w:val="22"/>
          <w:szCs w:val="22"/>
        </w:rPr>
      </w:pPr>
      <w:r>
        <w:rPr>
          <w:rFonts w:ascii="Rockwell" w:hAnsi="Rockwell"/>
          <w:sz w:val="22"/>
          <w:szCs w:val="22"/>
        </w:rPr>
        <w:t>The Head or Deputy Head of the Conduct &amp;</w:t>
      </w:r>
      <w:r w:rsidRPr="00D61613">
        <w:rPr>
          <w:rFonts w:ascii="Rockwell" w:hAnsi="Rockwell"/>
          <w:sz w:val="22"/>
          <w:szCs w:val="22"/>
        </w:rPr>
        <w:t xml:space="preserve"> Appeals Unit</w:t>
      </w:r>
    </w:p>
    <w:p w14:paraId="2140815C" w14:textId="77777777" w:rsidR="002D6204" w:rsidRDefault="002D6204" w:rsidP="009E2FD6">
      <w:pPr>
        <w:jc w:val="both"/>
        <w:rPr>
          <w:rFonts w:ascii="Rockwell" w:hAnsi="Rockwell"/>
          <w:sz w:val="22"/>
          <w:szCs w:val="22"/>
        </w:rPr>
      </w:pPr>
    </w:p>
    <w:p w14:paraId="42AF5E8B" w14:textId="77777777" w:rsidR="00A10547" w:rsidRPr="00D61613" w:rsidRDefault="00A10547" w:rsidP="00A10547">
      <w:pPr>
        <w:jc w:val="both"/>
        <w:rPr>
          <w:rFonts w:ascii="Rockwell" w:hAnsi="Rockwell"/>
          <w:sz w:val="22"/>
          <w:szCs w:val="22"/>
        </w:rPr>
      </w:pPr>
      <w:r w:rsidRPr="00D61613">
        <w:rPr>
          <w:rFonts w:ascii="Rockwell" w:hAnsi="Rockwell"/>
          <w:sz w:val="22"/>
          <w:szCs w:val="22"/>
        </w:rPr>
        <w:t>The standard and burden of proof is for the Uni</w:t>
      </w:r>
      <w:r>
        <w:rPr>
          <w:rFonts w:ascii="Rockwell" w:hAnsi="Rockwell"/>
          <w:sz w:val="22"/>
          <w:szCs w:val="22"/>
        </w:rPr>
        <w:t>versity to prove the allegation</w:t>
      </w:r>
      <w:r w:rsidRPr="00D61613">
        <w:rPr>
          <w:rFonts w:ascii="Rockwell" w:hAnsi="Rockwell"/>
          <w:sz w:val="22"/>
          <w:szCs w:val="22"/>
        </w:rPr>
        <w:t xml:space="preserve">(s) of misconduct and if on the available evidence it is more likely than not that misconduct has occurred then the burden and standard of proof is fulfilled and a penalty will be imposed as appropriate.  </w:t>
      </w:r>
    </w:p>
    <w:p w14:paraId="5CCAD635" w14:textId="77777777" w:rsidR="00A10547" w:rsidRPr="00D61613" w:rsidRDefault="00A10547" w:rsidP="00A10547">
      <w:pPr>
        <w:jc w:val="both"/>
        <w:rPr>
          <w:rFonts w:ascii="Rockwell" w:hAnsi="Rockwell"/>
          <w:sz w:val="22"/>
          <w:szCs w:val="22"/>
        </w:rPr>
      </w:pPr>
    </w:p>
    <w:p w14:paraId="6C8895AE" w14:textId="2A7C5E8B" w:rsidR="00A10547" w:rsidRPr="00D61613" w:rsidRDefault="00A10547" w:rsidP="00A10547">
      <w:pPr>
        <w:jc w:val="both"/>
        <w:rPr>
          <w:rFonts w:ascii="Rockwell" w:hAnsi="Rockwell"/>
          <w:sz w:val="22"/>
          <w:szCs w:val="22"/>
        </w:rPr>
      </w:pPr>
      <w:r w:rsidRPr="00910427">
        <w:rPr>
          <w:rFonts w:ascii="Rockwell" w:hAnsi="Rockwell"/>
          <w:sz w:val="22"/>
          <w:szCs w:val="22"/>
        </w:rPr>
        <w:t xml:space="preserve">The student will be informed in writing </w:t>
      </w:r>
      <w:r w:rsidR="00910427" w:rsidRPr="00910427">
        <w:rPr>
          <w:rFonts w:ascii="Rockwell" w:hAnsi="Rockwell"/>
          <w:sz w:val="22"/>
          <w:szCs w:val="22"/>
        </w:rPr>
        <w:t xml:space="preserve">of the outcome of the meeting </w:t>
      </w:r>
      <w:r w:rsidRPr="00910427">
        <w:rPr>
          <w:rFonts w:ascii="Rockwell" w:hAnsi="Rockwell"/>
          <w:sz w:val="22"/>
          <w:szCs w:val="22"/>
        </w:rPr>
        <w:t>by the Head or Deputy Head of the Conduct and Appeals Unit by post and to their University email account</w:t>
      </w:r>
      <w:r w:rsidR="00910427" w:rsidRPr="00910427">
        <w:rPr>
          <w:rFonts w:ascii="Rockwell" w:hAnsi="Rockwell"/>
          <w:sz w:val="22"/>
          <w:szCs w:val="22"/>
        </w:rPr>
        <w:t>.  The letter will confirm whether or not the Panel found the case proven and if so why.  It will clearly state the penalty to be imposed and may also contain further advice where appropriate.</w:t>
      </w:r>
      <w:r w:rsidR="00910427">
        <w:rPr>
          <w:rFonts w:ascii="Rockwell" w:hAnsi="Rockwell"/>
          <w:sz w:val="22"/>
          <w:szCs w:val="22"/>
        </w:rPr>
        <w:t xml:space="preserve">  </w:t>
      </w:r>
      <w:r w:rsidRPr="00D61613">
        <w:rPr>
          <w:rFonts w:ascii="Rockwell" w:hAnsi="Rockwell"/>
          <w:sz w:val="22"/>
          <w:szCs w:val="22"/>
        </w:rPr>
        <w:t>This will normally be</w:t>
      </w:r>
      <w:r w:rsidR="00910427">
        <w:rPr>
          <w:rFonts w:ascii="Rockwell" w:hAnsi="Rockwell"/>
          <w:sz w:val="22"/>
          <w:szCs w:val="22"/>
        </w:rPr>
        <w:t xml:space="preserve"> sent</w:t>
      </w:r>
      <w:r w:rsidRPr="00D61613">
        <w:rPr>
          <w:rFonts w:ascii="Rockwell" w:hAnsi="Rockwell"/>
          <w:sz w:val="22"/>
          <w:szCs w:val="22"/>
        </w:rPr>
        <w:t xml:space="preserve"> within seven working days.  It must be noted that at busy times of the ac</w:t>
      </w:r>
      <w:r w:rsidR="001E5FDB">
        <w:rPr>
          <w:rFonts w:ascii="Rockwell" w:hAnsi="Rockwell"/>
          <w:sz w:val="22"/>
          <w:szCs w:val="22"/>
        </w:rPr>
        <w:t>ademic year there may be delays.  In these circumstances the student will be notified by email to their University email account of any delay, within the seven working day deadline.</w:t>
      </w:r>
    </w:p>
    <w:p w14:paraId="4EE319AA" w14:textId="77777777" w:rsidR="002D6204" w:rsidRPr="00D61613" w:rsidRDefault="002D6204" w:rsidP="009E2FD6">
      <w:pPr>
        <w:jc w:val="both"/>
        <w:rPr>
          <w:rFonts w:ascii="Rockwell" w:hAnsi="Rockwell"/>
          <w:sz w:val="22"/>
          <w:szCs w:val="22"/>
        </w:rPr>
      </w:pPr>
    </w:p>
    <w:tbl>
      <w:tblPr>
        <w:tblW w:w="0" w:type="auto"/>
        <w:tblLook w:val="01E0" w:firstRow="1" w:lastRow="1" w:firstColumn="1" w:lastColumn="1" w:noHBand="0" w:noVBand="0"/>
      </w:tblPr>
      <w:tblGrid>
        <w:gridCol w:w="3348"/>
        <w:gridCol w:w="5174"/>
      </w:tblGrid>
      <w:tr w:rsidR="00BB4EF8" w:rsidRPr="00554FE9" w14:paraId="500F0D37" w14:textId="77777777" w:rsidTr="00BB4EF8">
        <w:tc>
          <w:tcPr>
            <w:tcW w:w="3348" w:type="dxa"/>
            <w:shd w:val="clear" w:color="auto" w:fill="000000"/>
          </w:tcPr>
          <w:p w14:paraId="795C667F" w14:textId="77777777" w:rsidR="00BB4EF8" w:rsidRPr="00554FE9" w:rsidRDefault="00BB4EF8" w:rsidP="009E2FD6">
            <w:pPr>
              <w:tabs>
                <w:tab w:val="left" w:pos="2775"/>
                <w:tab w:val="left" w:pos="3300"/>
              </w:tabs>
              <w:jc w:val="both"/>
              <w:rPr>
                <w:rFonts w:ascii="Rockwell" w:hAnsi="Rockwell"/>
                <w:b/>
                <w:bCs/>
              </w:rPr>
            </w:pPr>
            <w:r w:rsidRPr="00554FE9">
              <w:rPr>
                <w:rFonts w:ascii="Rockwell" w:hAnsi="Rockwell"/>
                <w:b/>
                <w:bCs/>
              </w:rPr>
              <w:t>APPEAL PROCEDURE:</w:t>
            </w:r>
            <w:r w:rsidRPr="00554FE9">
              <w:rPr>
                <w:rFonts w:ascii="Rockwell" w:hAnsi="Rockwell"/>
                <w:b/>
                <w:bCs/>
              </w:rPr>
              <w:tab/>
            </w:r>
            <w:r w:rsidRPr="00554FE9">
              <w:rPr>
                <w:rFonts w:ascii="Rockwell" w:hAnsi="Rockwell"/>
                <w:b/>
                <w:bCs/>
              </w:rPr>
              <w:tab/>
            </w:r>
          </w:p>
        </w:tc>
        <w:tc>
          <w:tcPr>
            <w:tcW w:w="5174" w:type="dxa"/>
            <w:shd w:val="clear" w:color="auto" w:fill="D9D9D9"/>
          </w:tcPr>
          <w:p w14:paraId="68D50ADF" w14:textId="77777777" w:rsidR="00BB4EF8" w:rsidRPr="00554FE9" w:rsidRDefault="00BB4EF8" w:rsidP="009E2FD6">
            <w:pPr>
              <w:jc w:val="both"/>
              <w:rPr>
                <w:rFonts w:ascii="Rockwell" w:hAnsi="Rockwell"/>
                <w:b/>
                <w:i/>
                <w:iCs/>
                <w:sz w:val="22"/>
                <w:szCs w:val="22"/>
              </w:rPr>
            </w:pPr>
            <w:r w:rsidRPr="00554FE9">
              <w:rPr>
                <w:rFonts w:ascii="Rockwell" w:hAnsi="Rockwell"/>
                <w:b/>
                <w:i/>
                <w:iCs/>
                <w:sz w:val="22"/>
                <w:szCs w:val="22"/>
              </w:rPr>
              <w:t xml:space="preserve">Against the outcome of a stage one hearing. </w:t>
            </w:r>
          </w:p>
        </w:tc>
      </w:tr>
    </w:tbl>
    <w:p w14:paraId="6C7AC8A6" w14:textId="77777777" w:rsidR="00BB4EF8" w:rsidRPr="00D61613" w:rsidRDefault="00BB4EF8" w:rsidP="009E2FD6">
      <w:pPr>
        <w:jc w:val="both"/>
        <w:rPr>
          <w:rFonts w:ascii="Rockwell" w:hAnsi="Rockwell"/>
          <w:sz w:val="22"/>
          <w:szCs w:val="22"/>
        </w:rPr>
      </w:pPr>
    </w:p>
    <w:p w14:paraId="3D70880F" w14:textId="77777777" w:rsidR="00BB4EF8" w:rsidRPr="00D61613" w:rsidRDefault="00BB4EF8" w:rsidP="009E2FD6">
      <w:pPr>
        <w:jc w:val="both"/>
        <w:rPr>
          <w:rFonts w:ascii="Rockwell" w:hAnsi="Rockwell"/>
          <w:sz w:val="22"/>
          <w:szCs w:val="22"/>
        </w:rPr>
      </w:pPr>
      <w:r w:rsidRPr="00D61613">
        <w:rPr>
          <w:rFonts w:ascii="Rockwell" w:hAnsi="Rockwell"/>
          <w:sz w:val="22"/>
          <w:szCs w:val="22"/>
        </w:rPr>
        <w:t>A student will have the right to appeal against the decision reached by a Stage One hearin</w:t>
      </w:r>
      <w:r>
        <w:rPr>
          <w:rFonts w:ascii="Rockwell" w:hAnsi="Rockwell"/>
          <w:sz w:val="22"/>
          <w:szCs w:val="22"/>
        </w:rPr>
        <w:t>g.  The grounds for appeal are:</w:t>
      </w:r>
    </w:p>
    <w:p w14:paraId="212075C0" w14:textId="77777777" w:rsidR="00BB4EF8" w:rsidRPr="00D61613" w:rsidRDefault="00BB4EF8" w:rsidP="009E2FD6">
      <w:pPr>
        <w:jc w:val="both"/>
        <w:rPr>
          <w:rFonts w:ascii="Rockwell" w:hAnsi="Rockwell"/>
          <w:sz w:val="22"/>
          <w:szCs w:val="22"/>
        </w:rPr>
      </w:pPr>
    </w:p>
    <w:p w14:paraId="75521978" w14:textId="77777777" w:rsidR="00BB4EF8" w:rsidRPr="00D61613" w:rsidRDefault="00BB4EF8" w:rsidP="009E2FD6">
      <w:pPr>
        <w:numPr>
          <w:ilvl w:val="0"/>
          <w:numId w:val="18"/>
        </w:numPr>
        <w:jc w:val="both"/>
        <w:rPr>
          <w:rFonts w:ascii="Rockwell" w:hAnsi="Rockwell"/>
          <w:sz w:val="22"/>
          <w:szCs w:val="22"/>
        </w:rPr>
      </w:pPr>
      <w:r w:rsidRPr="00D61613">
        <w:rPr>
          <w:rFonts w:ascii="Rockwell" w:hAnsi="Rockwell"/>
          <w:sz w:val="22"/>
          <w:szCs w:val="22"/>
        </w:rPr>
        <w:t>That an administrative error or material irregularity has occurred in the conduct of the investigation.</w:t>
      </w:r>
    </w:p>
    <w:p w14:paraId="6CE752E4" w14:textId="77777777" w:rsidR="00BB4EF8" w:rsidRPr="00D61613" w:rsidRDefault="00BB4EF8" w:rsidP="009E2FD6">
      <w:pPr>
        <w:numPr>
          <w:ilvl w:val="0"/>
          <w:numId w:val="18"/>
        </w:numPr>
        <w:jc w:val="both"/>
        <w:rPr>
          <w:rFonts w:ascii="Rockwell" w:hAnsi="Rockwell"/>
          <w:sz w:val="22"/>
          <w:szCs w:val="22"/>
        </w:rPr>
      </w:pPr>
      <w:r w:rsidRPr="00D61613">
        <w:rPr>
          <w:rFonts w:ascii="Rockwell" w:hAnsi="Rockwell"/>
          <w:sz w:val="22"/>
          <w:szCs w:val="22"/>
        </w:rPr>
        <w:t>That there were personal circumstances which they believe would have affected the decision taken by the panel had they been made aware of them.  The student must have a good reason not to have revealed the circumstances to the Stage One hearing.</w:t>
      </w:r>
    </w:p>
    <w:p w14:paraId="0163F329" w14:textId="77777777" w:rsidR="00BB4EF8" w:rsidRPr="00D61613" w:rsidRDefault="00BB4EF8" w:rsidP="009E2FD6">
      <w:pPr>
        <w:jc w:val="both"/>
        <w:rPr>
          <w:rFonts w:ascii="Rockwell" w:hAnsi="Rockwell"/>
          <w:sz w:val="22"/>
          <w:szCs w:val="22"/>
        </w:rPr>
      </w:pPr>
    </w:p>
    <w:p w14:paraId="6CC87A70" w14:textId="77777777" w:rsidR="00EB5F55" w:rsidRDefault="00BB4EF8" w:rsidP="009E2FD6">
      <w:pPr>
        <w:jc w:val="both"/>
        <w:rPr>
          <w:rFonts w:ascii="Rockwell" w:hAnsi="Rockwell"/>
          <w:sz w:val="22"/>
          <w:szCs w:val="22"/>
        </w:rPr>
      </w:pPr>
      <w:r>
        <w:rPr>
          <w:rFonts w:ascii="Rockwell" w:hAnsi="Rockwell"/>
          <w:sz w:val="22"/>
          <w:szCs w:val="22"/>
        </w:rPr>
        <w:t>Appeals must</w:t>
      </w:r>
      <w:r w:rsidRPr="00D61613">
        <w:rPr>
          <w:rFonts w:ascii="Rockwell" w:hAnsi="Rockwell"/>
          <w:sz w:val="22"/>
          <w:szCs w:val="22"/>
        </w:rPr>
        <w:t xml:space="preserve"> be made </w:t>
      </w:r>
      <w:r w:rsidRPr="00925319">
        <w:rPr>
          <w:rFonts w:ascii="Rockwell" w:hAnsi="Rockwell"/>
          <w:sz w:val="22"/>
          <w:szCs w:val="22"/>
        </w:rPr>
        <w:t xml:space="preserve">within </w:t>
      </w:r>
      <w:r w:rsidR="00925319" w:rsidRPr="00EB5F55">
        <w:rPr>
          <w:rFonts w:ascii="Rockwell" w:hAnsi="Rockwell"/>
          <w:b/>
          <w:sz w:val="22"/>
          <w:szCs w:val="22"/>
          <w:u w:val="single"/>
        </w:rPr>
        <w:t>20</w:t>
      </w:r>
      <w:r w:rsidRPr="00EB5F55">
        <w:rPr>
          <w:rFonts w:ascii="Rockwell" w:hAnsi="Rockwell"/>
          <w:b/>
          <w:sz w:val="22"/>
          <w:szCs w:val="22"/>
          <w:u w:val="single"/>
        </w:rPr>
        <w:t xml:space="preserve"> working days</w:t>
      </w:r>
      <w:r w:rsidRPr="00D61613">
        <w:rPr>
          <w:rFonts w:ascii="Rockwell" w:hAnsi="Rockwell"/>
          <w:sz w:val="22"/>
          <w:szCs w:val="22"/>
        </w:rPr>
        <w:t xml:space="preserve"> of the receipt of the letter which informs the student of the penalty imposed</w:t>
      </w:r>
      <w:r w:rsidR="00EB5F55">
        <w:rPr>
          <w:rFonts w:ascii="Rockwell" w:hAnsi="Rockwell"/>
          <w:sz w:val="22"/>
          <w:szCs w:val="22"/>
        </w:rPr>
        <w:t>.</w:t>
      </w:r>
    </w:p>
    <w:p w14:paraId="4D144916" w14:textId="77777777" w:rsidR="00EB5F55" w:rsidRDefault="00EB5F55" w:rsidP="009E2FD6">
      <w:pPr>
        <w:jc w:val="both"/>
        <w:rPr>
          <w:rFonts w:ascii="Rockwell" w:hAnsi="Rockwell"/>
          <w:sz w:val="22"/>
          <w:szCs w:val="22"/>
        </w:rPr>
      </w:pPr>
    </w:p>
    <w:p w14:paraId="11C8E28C" w14:textId="3BCBDD58" w:rsidR="00EB5F55" w:rsidRDefault="00EB5F55" w:rsidP="00EB5F55">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Students are advised to contact the Students’ Union for advice and support prior to submitting an appeal.</w:t>
      </w:r>
      <w:r w:rsidRPr="00A10547">
        <w:rPr>
          <w:rFonts w:ascii="Rockwell" w:hAnsi="Rockwell" w:cs="Rockwell"/>
          <w:color w:val="000000"/>
          <w:sz w:val="22"/>
          <w:szCs w:val="22"/>
          <w:lang w:eastAsia="en-GB"/>
        </w:rPr>
        <w:t xml:space="preserve"> </w:t>
      </w:r>
      <w:r>
        <w:rPr>
          <w:rFonts w:ascii="Rockwell" w:hAnsi="Rockwell" w:cs="Rockwell"/>
          <w:color w:val="000000"/>
          <w:sz w:val="22"/>
          <w:szCs w:val="22"/>
          <w:lang w:eastAsia="en-GB"/>
        </w:rPr>
        <w:t xml:space="preserve">The Students’ Union Advice &amp; Support Centre can be contacted </w:t>
      </w:r>
      <w:r w:rsidRPr="009E2FD6">
        <w:rPr>
          <w:rFonts w:ascii="Rockwell" w:hAnsi="Rockwell"/>
          <w:bCs/>
          <w:sz w:val="22"/>
          <w:szCs w:val="22"/>
        </w:rPr>
        <w:t xml:space="preserve">via </w:t>
      </w:r>
      <w:r>
        <w:rPr>
          <w:rFonts w:ascii="Rockwell" w:hAnsi="Rockwell"/>
          <w:bCs/>
          <w:sz w:val="22"/>
          <w:szCs w:val="22"/>
        </w:rPr>
        <w:t xml:space="preserve">email to </w:t>
      </w:r>
      <w:hyperlink r:id="rId17" w:history="1">
        <w:r w:rsidR="00637A49" w:rsidRPr="000F2EBD">
          <w:rPr>
            <w:rStyle w:val="Hyperlink"/>
            <w:rFonts w:ascii="Rockwell" w:hAnsi="Rockwell"/>
            <w:sz w:val="22"/>
            <w:szCs w:val="22"/>
          </w:rPr>
          <w:t>advice.wolvesunion@wlv.ac.uk</w:t>
        </w:r>
      </w:hyperlink>
      <w:r w:rsidRPr="009E2FD6">
        <w:rPr>
          <w:rFonts w:ascii="Rockwell" w:hAnsi="Rockwell"/>
          <w:color w:val="1F497D"/>
          <w:sz w:val="22"/>
          <w:szCs w:val="22"/>
        </w:rPr>
        <w:t xml:space="preserve"> </w:t>
      </w:r>
      <w:r>
        <w:rPr>
          <w:rFonts w:ascii="Rockwell" w:hAnsi="Rockwell"/>
          <w:sz w:val="22"/>
          <w:szCs w:val="22"/>
        </w:rPr>
        <w:t xml:space="preserve">or by calling 01902 322038. Details of the </w:t>
      </w:r>
      <w:r>
        <w:rPr>
          <w:rFonts w:ascii="Rockwell" w:hAnsi="Rockwell" w:cs="Rockwell"/>
          <w:color w:val="000000"/>
          <w:sz w:val="22"/>
          <w:szCs w:val="22"/>
          <w:lang w:eastAsia="en-GB"/>
        </w:rPr>
        <w:t xml:space="preserve">Students Union Representation Service are available on their website: </w:t>
      </w:r>
      <w:hyperlink r:id="rId18" w:history="1">
        <w:r w:rsidR="00C47E22" w:rsidRPr="000F2EBD">
          <w:rPr>
            <w:rStyle w:val="Hyperlink"/>
            <w:rFonts w:ascii="Rockwell" w:hAnsi="Rockwell" w:cs="Rockwell"/>
            <w:sz w:val="22"/>
            <w:szCs w:val="22"/>
            <w:lang w:eastAsia="en-GB"/>
          </w:rPr>
          <w:t>www.wolvesunion.org</w:t>
        </w:r>
      </w:hyperlink>
      <w:r w:rsidR="00C47E22">
        <w:rPr>
          <w:rFonts w:ascii="Rockwell" w:hAnsi="Rockwell" w:cs="Rockwell"/>
          <w:sz w:val="22"/>
          <w:szCs w:val="22"/>
          <w:lang w:eastAsia="en-GB"/>
        </w:rPr>
        <w:t xml:space="preserve"> </w:t>
      </w:r>
      <w:r w:rsidRPr="00C47E22">
        <w:rPr>
          <w:rFonts w:ascii="Rockwell" w:hAnsi="Rockwell" w:cs="Rockwell"/>
          <w:sz w:val="22"/>
          <w:szCs w:val="22"/>
          <w:lang w:eastAsia="en-GB"/>
        </w:rPr>
        <w:t xml:space="preserve"> </w:t>
      </w:r>
      <w:r w:rsidR="00C47E22">
        <w:rPr>
          <w:rFonts w:ascii="Rockwell" w:hAnsi="Rockwell" w:cs="Rockwell"/>
          <w:color w:val="000000"/>
          <w:sz w:val="22"/>
          <w:szCs w:val="22"/>
          <w:lang w:eastAsia="en-GB"/>
        </w:rPr>
        <w:t xml:space="preserve">and will </w:t>
      </w:r>
      <w:r>
        <w:rPr>
          <w:rFonts w:ascii="Rockwell" w:hAnsi="Rockwell" w:cs="Rockwell"/>
          <w:color w:val="000000"/>
          <w:sz w:val="22"/>
          <w:szCs w:val="22"/>
          <w:lang w:eastAsia="en-GB"/>
        </w:rPr>
        <w:t>be included in the invite letter.</w:t>
      </w:r>
    </w:p>
    <w:p w14:paraId="0E2DE578" w14:textId="77777777" w:rsidR="00EB5F55" w:rsidRDefault="00EB5F55" w:rsidP="009E2FD6">
      <w:pPr>
        <w:jc w:val="both"/>
        <w:rPr>
          <w:rFonts w:ascii="Rockwell" w:hAnsi="Rockwell"/>
          <w:sz w:val="22"/>
          <w:szCs w:val="22"/>
        </w:rPr>
      </w:pPr>
    </w:p>
    <w:p w14:paraId="727428F5" w14:textId="56D61CDA" w:rsidR="00BB4EF8" w:rsidRPr="00D61613" w:rsidRDefault="00EB5F55" w:rsidP="009E2FD6">
      <w:pPr>
        <w:jc w:val="both"/>
        <w:rPr>
          <w:rFonts w:ascii="Rockwell" w:hAnsi="Rockwell"/>
          <w:sz w:val="22"/>
          <w:szCs w:val="22"/>
        </w:rPr>
      </w:pPr>
      <w:r>
        <w:rPr>
          <w:rFonts w:ascii="Rockwell" w:hAnsi="Rockwell"/>
          <w:sz w:val="22"/>
          <w:szCs w:val="22"/>
        </w:rPr>
        <w:t xml:space="preserve">Appeals </w:t>
      </w:r>
      <w:r w:rsidR="00BB4EF8" w:rsidRPr="00D61613">
        <w:rPr>
          <w:rFonts w:ascii="Rockwell" w:hAnsi="Rockwell"/>
          <w:sz w:val="22"/>
          <w:szCs w:val="22"/>
        </w:rPr>
        <w:t>should be made in writing to</w:t>
      </w:r>
      <w:r w:rsidR="00BB4EF8">
        <w:rPr>
          <w:rFonts w:ascii="Rockwell" w:hAnsi="Rockwell"/>
          <w:sz w:val="22"/>
          <w:szCs w:val="22"/>
        </w:rPr>
        <w:t>:</w:t>
      </w:r>
    </w:p>
    <w:p w14:paraId="6D5440A1" w14:textId="77777777" w:rsidR="00BB4EF8" w:rsidRPr="00D61613" w:rsidRDefault="00BB4EF8" w:rsidP="009E2FD6">
      <w:pPr>
        <w:jc w:val="both"/>
        <w:rPr>
          <w:rFonts w:ascii="Rockwell" w:hAnsi="Rockwell"/>
          <w:sz w:val="22"/>
          <w:szCs w:val="22"/>
        </w:rPr>
      </w:pPr>
    </w:p>
    <w:p w14:paraId="54404F02" w14:textId="178182F2" w:rsidR="00BB4EF8" w:rsidRPr="00B43468" w:rsidRDefault="006A4A9B" w:rsidP="009E2FD6">
      <w:pPr>
        <w:jc w:val="both"/>
        <w:rPr>
          <w:rFonts w:ascii="Rockwell" w:hAnsi="Rockwell"/>
          <w:sz w:val="22"/>
          <w:szCs w:val="22"/>
        </w:rPr>
      </w:pPr>
      <w:r>
        <w:rPr>
          <w:rFonts w:ascii="Rockwell" w:hAnsi="Rockwell"/>
          <w:sz w:val="22"/>
          <w:szCs w:val="22"/>
        </w:rPr>
        <w:t xml:space="preserve">The </w:t>
      </w:r>
      <w:r w:rsidR="0044608D">
        <w:rPr>
          <w:rFonts w:ascii="Rockwell" w:hAnsi="Rockwell"/>
          <w:sz w:val="22"/>
          <w:szCs w:val="22"/>
        </w:rPr>
        <w:t>Head of Conduct and Appeals Unit</w:t>
      </w:r>
    </w:p>
    <w:p w14:paraId="4223D692" w14:textId="36F9F6E9" w:rsidR="00B43468" w:rsidRPr="00B43468" w:rsidRDefault="0044608D" w:rsidP="009E2FD6">
      <w:pPr>
        <w:jc w:val="both"/>
        <w:rPr>
          <w:rFonts w:ascii="Rockwell" w:hAnsi="Rockwell"/>
          <w:sz w:val="22"/>
          <w:szCs w:val="22"/>
        </w:rPr>
      </w:pPr>
      <w:r>
        <w:rPr>
          <w:rFonts w:ascii="Rockwell" w:hAnsi="Rockwell"/>
          <w:sz w:val="22"/>
          <w:szCs w:val="22"/>
        </w:rPr>
        <w:t>Registry</w:t>
      </w:r>
    </w:p>
    <w:p w14:paraId="73EB6685" w14:textId="77777777" w:rsidR="00B43468" w:rsidRPr="00B43468" w:rsidRDefault="00B43468" w:rsidP="009E2FD6">
      <w:pPr>
        <w:jc w:val="both"/>
        <w:rPr>
          <w:rFonts w:ascii="Rockwell" w:hAnsi="Rockwell"/>
          <w:sz w:val="22"/>
          <w:szCs w:val="22"/>
        </w:rPr>
      </w:pPr>
      <w:r w:rsidRPr="00B43468">
        <w:rPr>
          <w:rFonts w:ascii="Rockwell" w:hAnsi="Rockwell"/>
          <w:sz w:val="22"/>
          <w:szCs w:val="22"/>
        </w:rPr>
        <w:t>University of Wolverhampton</w:t>
      </w:r>
    </w:p>
    <w:p w14:paraId="2E820BC8" w14:textId="77777777" w:rsidR="0044608D" w:rsidRDefault="0044608D" w:rsidP="009E2FD6">
      <w:pPr>
        <w:jc w:val="both"/>
        <w:rPr>
          <w:rFonts w:ascii="Rockwell" w:hAnsi="Rockwell"/>
          <w:sz w:val="22"/>
          <w:szCs w:val="22"/>
        </w:rPr>
      </w:pPr>
      <w:r>
        <w:rPr>
          <w:rFonts w:ascii="Rockwell" w:hAnsi="Rockwell"/>
          <w:sz w:val="22"/>
          <w:szCs w:val="22"/>
        </w:rPr>
        <w:t>MX Building</w:t>
      </w:r>
    </w:p>
    <w:p w14:paraId="2961C34B" w14:textId="77777777" w:rsidR="0044608D" w:rsidRDefault="0044608D" w:rsidP="009E2FD6">
      <w:pPr>
        <w:jc w:val="both"/>
        <w:rPr>
          <w:rFonts w:ascii="Rockwell" w:hAnsi="Rockwell"/>
          <w:sz w:val="22"/>
          <w:szCs w:val="22"/>
        </w:rPr>
      </w:pPr>
      <w:r>
        <w:rPr>
          <w:rFonts w:ascii="Rockwell" w:hAnsi="Rockwell"/>
          <w:sz w:val="22"/>
          <w:szCs w:val="22"/>
        </w:rPr>
        <w:t>Camp Street Molineux</w:t>
      </w:r>
    </w:p>
    <w:p w14:paraId="28C8E119" w14:textId="4598358C" w:rsidR="00B43468" w:rsidRPr="00B43468" w:rsidRDefault="00B43468" w:rsidP="009E2FD6">
      <w:pPr>
        <w:jc w:val="both"/>
        <w:rPr>
          <w:rFonts w:ascii="Rockwell" w:hAnsi="Rockwell"/>
          <w:sz w:val="22"/>
          <w:szCs w:val="22"/>
        </w:rPr>
      </w:pPr>
      <w:r w:rsidRPr="00B43468">
        <w:rPr>
          <w:rFonts w:ascii="Rockwell" w:hAnsi="Rockwell"/>
          <w:sz w:val="22"/>
          <w:szCs w:val="22"/>
        </w:rPr>
        <w:t xml:space="preserve">Wolverhampton </w:t>
      </w:r>
    </w:p>
    <w:p w14:paraId="3D703B66" w14:textId="17396737" w:rsidR="00B43468" w:rsidRDefault="0044608D" w:rsidP="009E2FD6">
      <w:pPr>
        <w:jc w:val="both"/>
        <w:rPr>
          <w:rFonts w:ascii="Rockwell" w:hAnsi="Rockwell"/>
          <w:sz w:val="22"/>
          <w:szCs w:val="22"/>
        </w:rPr>
      </w:pPr>
      <w:r>
        <w:rPr>
          <w:rFonts w:ascii="Rockwell" w:hAnsi="Rockwell"/>
          <w:sz w:val="22"/>
          <w:szCs w:val="22"/>
        </w:rPr>
        <w:t>WV1 1AD</w:t>
      </w:r>
    </w:p>
    <w:p w14:paraId="261451D9" w14:textId="6AFDF731" w:rsidR="009170C6" w:rsidRDefault="009170C6" w:rsidP="009E2FD6">
      <w:pPr>
        <w:jc w:val="both"/>
        <w:rPr>
          <w:rFonts w:ascii="Rockwell" w:hAnsi="Rockwell"/>
          <w:sz w:val="22"/>
          <w:szCs w:val="22"/>
        </w:rPr>
      </w:pPr>
      <w:r>
        <w:rPr>
          <w:rFonts w:ascii="Rockwell" w:hAnsi="Rockwell"/>
          <w:sz w:val="22"/>
          <w:szCs w:val="22"/>
        </w:rPr>
        <w:t xml:space="preserve">Email: </w:t>
      </w:r>
      <w:hyperlink r:id="rId19" w:history="1">
        <w:r w:rsidRPr="003D2A27">
          <w:rPr>
            <w:rStyle w:val="Hyperlink"/>
            <w:rFonts w:ascii="Rockwell" w:hAnsi="Rockwell"/>
            <w:sz w:val="22"/>
            <w:szCs w:val="22"/>
          </w:rPr>
          <w:t>conductandappeals@wlv.ac.uk</w:t>
        </w:r>
      </w:hyperlink>
      <w:r>
        <w:rPr>
          <w:rFonts w:ascii="Rockwell" w:hAnsi="Rockwell"/>
          <w:sz w:val="22"/>
          <w:szCs w:val="22"/>
        </w:rPr>
        <w:t xml:space="preserve"> </w:t>
      </w:r>
    </w:p>
    <w:p w14:paraId="15A37E31" w14:textId="77777777" w:rsidR="00980EC2" w:rsidRDefault="00980EC2" w:rsidP="009E2FD6">
      <w:pPr>
        <w:jc w:val="both"/>
        <w:rPr>
          <w:rFonts w:ascii="Rockwell" w:hAnsi="Rockwell"/>
          <w:sz w:val="22"/>
          <w:szCs w:val="22"/>
        </w:rPr>
      </w:pPr>
    </w:p>
    <w:p w14:paraId="3C2CD1E0" w14:textId="36692E4E" w:rsidR="00980EC2" w:rsidRDefault="00980EC2" w:rsidP="009E2FD6">
      <w:pPr>
        <w:autoSpaceDE w:val="0"/>
        <w:autoSpaceDN w:val="0"/>
        <w:adjustRightInd w:val="0"/>
        <w:jc w:val="both"/>
        <w:rPr>
          <w:rFonts w:ascii="Rockwell" w:hAnsi="Rockwell"/>
          <w:sz w:val="22"/>
          <w:szCs w:val="22"/>
        </w:rPr>
      </w:pPr>
      <w:r>
        <w:rPr>
          <w:rFonts w:ascii="Rockwell" w:hAnsi="Rockwell"/>
          <w:sz w:val="22"/>
          <w:szCs w:val="22"/>
        </w:rPr>
        <w:t xml:space="preserve">The Head of the Conduct and Appeals Unit (where they have had no previous involvement with the case) or the </w:t>
      </w:r>
      <w:r w:rsidR="0044608D">
        <w:rPr>
          <w:rFonts w:ascii="Rockwell" w:hAnsi="Rockwell"/>
          <w:sz w:val="22"/>
          <w:szCs w:val="22"/>
        </w:rPr>
        <w:t xml:space="preserve">Academic Registrar </w:t>
      </w:r>
      <w:r w:rsidR="00BB4EF8">
        <w:rPr>
          <w:rFonts w:ascii="Rockwell" w:hAnsi="Rockwell"/>
          <w:sz w:val="22"/>
          <w:szCs w:val="22"/>
        </w:rPr>
        <w:t>will review the request for an appeal to determine whether or not the appellant has demonstrated valid grounds for an appeal to proceed</w:t>
      </w:r>
      <w:r w:rsidR="00FA1815">
        <w:rPr>
          <w:rFonts w:ascii="Rockwell" w:hAnsi="Rockwell"/>
          <w:sz w:val="22"/>
          <w:szCs w:val="22"/>
        </w:rPr>
        <w:t xml:space="preserve">. </w:t>
      </w:r>
      <w:r w:rsidR="00FA1815">
        <w:rPr>
          <w:rFonts w:ascii="Rockwell" w:hAnsi="Rockwell" w:cs="Rockwell"/>
          <w:sz w:val="22"/>
          <w:szCs w:val="22"/>
          <w:lang w:eastAsia="en-GB"/>
        </w:rPr>
        <w:t>T</w:t>
      </w:r>
      <w:r w:rsidR="0065270B">
        <w:rPr>
          <w:rFonts w:ascii="Rockwell" w:hAnsi="Rockwell" w:cs="Rockwell"/>
          <w:sz w:val="22"/>
          <w:szCs w:val="22"/>
          <w:lang w:eastAsia="en-GB"/>
        </w:rPr>
        <w:t>o determine whether it is appropriate for the</w:t>
      </w:r>
      <w:r w:rsidR="0065270B">
        <w:rPr>
          <w:rFonts w:ascii="Rockwell" w:hAnsi="Rockwell"/>
          <w:sz w:val="22"/>
          <w:szCs w:val="22"/>
        </w:rPr>
        <w:t xml:space="preserve"> appeal to be considered by a Stage Two Appeals Panel</w:t>
      </w:r>
      <w:r w:rsidR="00FA1815" w:rsidRPr="00FA1815">
        <w:rPr>
          <w:rFonts w:ascii="Rockwell" w:hAnsi="Rockwell"/>
          <w:sz w:val="22"/>
          <w:szCs w:val="22"/>
        </w:rPr>
        <w:t xml:space="preserve"> </w:t>
      </w:r>
      <w:r w:rsidR="00FA1815">
        <w:rPr>
          <w:rFonts w:ascii="Rockwell" w:hAnsi="Rockwell"/>
          <w:sz w:val="22"/>
          <w:szCs w:val="22"/>
        </w:rPr>
        <w:t>additional documentation may be</w:t>
      </w:r>
      <w:r w:rsidR="00FA1815" w:rsidRPr="00FA1815">
        <w:rPr>
          <w:rFonts w:ascii="Rockwell" w:hAnsi="Rockwell"/>
          <w:sz w:val="22"/>
          <w:szCs w:val="22"/>
        </w:rPr>
        <w:t xml:space="preserve"> </w:t>
      </w:r>
      <w:r w:rsidR="00FA1815">
        <w:rPr>
          <w:rFonts w:ascii="Rockwell" w:hAnsi="Rockwell"/>
          <w:sz w:val="22"/>
          <w:szCs w:val="22"/>
        </w:rPr>
        <w:t>requested.</w:t>
      </w:r>
    </w:p>
    <w:p w14:paraId="1E7C616F" w14:textId="77777777" w:rsidR="00980EC2" w:rsidRDefault="00980EC2" w:rsidP="009E2FD6">
      <w:pPr>
        <w:jc w:val="both"/>
        <w:rPr>
          <w:rFonts w:ascii="Rockwell" w:hAnsi="Rockwell"/>
          <w:sz w:val="22"/>
          <w:szCs w:val="22"/>
        </w:rPr>
      </w:pPr>
    </w:p>
    <w:p w14:paraId="24B297BF" w14:textId="492FA3A7" w:rsidR="00BB4EF8" w:rsidRDefault="00BB4EF8" w:rsidP="009E2FD6">
      <w:pPr>
        <w:jc w:val="both"/>
        <w:rPr>
          <w:rFonts w:ascii="Rockwell" w:hAnsi="Rockwell"/>
          <w:sz w:val="22"/>
          <w:szCs w:val="22"/>
        </w:rPr>
      </w:pPr>
      <w:r>
        <w:rPr>
          <w:rFonts w:ascii="Rockwell" w:hAnsi="Rockwell"/>
          <w:sz w:val="22"/>
          <w:szCs w:val="22"/>
        </w:rPr>
        <w:t>If it is determined</w:t>
      </w:r>
      <w:r w:rsidRPr="00D61613">
        <w:rPr>
          <w:rFonts w:ascii="Rockwell" w:hAnsi="Rockwell"/>
          <w:sz w:val="22"/>
          <w:szCs w:val="22"/>
        </w:rPr>
        <w:t xml:space="preserve"> that the student has demonstrated a valid case for an appeal to proceed then the case will be referred to a Stage Two</w:t>
      </w:r>
      <w:r w:rsidR="0065270B">
        <w:rPr>
          <w:rFonts w:ascii="Rockwell" w:hAnsi="Rockwell"/>
          <w:sz w:val="22"/>
          <w:szCs w:val="22"/>
        </w:rPr>
        <w:t xml:space="preserve"> Appeal</w:t>
      </w:r>
      <w:r w:rsidRPr="00D61613">
        <w:rPr>
          <w:rFonts w:ascii="Rockwell" w:hAnsi="Rockwell"/>
          <w:sz w:val="22"/>
          <w:szCs w:val="22"/>
        </w:rPr>
        <w:t xml:space="preserve"> Hearing.  If </w:t>
      </w:r>
      <w:r w:rsidR="00980EC2">
        <w:rPr>
          <w:rFonts w:ascii="Rockwell" w:hAnsi="Rockwell"/>
          <w:sz w:val="22"/>
          <w:szCs w:val="22"/>
        </w:rPr>
        <w:t xml:space="preserve">this is not found </w:t>
      </w:r>
      <w:r w:rsidRPr="00D61613">
        <w:rPr>
          <w:rFonts w:ascii="Rockwell" w:hAnsi="Rockwell"/>
          <w:sz w:val="22"/>
          <w:szCs w:val="22"/>
        </w:rPr>
        <w:t>to be the c</w:t>
      </w:r>
      <w:r>
        <w:rPr>
          <w:rFonts w:ascii="Rockwell" w:hAnsi="Rockwell"/>
          <w:sz w:val="22"/>
          <w:szCs w:val="22"/>
        </w:rPr>
        <w:t xml:space="preserve">ase a Completion of Procedures letter will be issued, </w:t>
      </w:r>
      <w:r w:rsidRPr="00D61613">
        <w:rPr>
          <w:rFonts w:ascii="Rockwell" w:hAnsi="Rockwell"/>
          <w:sz w:val="22"/>
          <w:szCs w:val="22"/>
        </w:rPr>
        <w:t>in accordance with the format prescribed b</w:t>
      </w:r>
      <w:r>
        <w:rPr>
          <w:rFonts w:ascii="Rockwell" w:hAnsi="Rockwell"/>
          <w:sz w:val="22"/>
          <w:szCs w:val="22"/>
        </w:rPr>
        <w:t>y the Office of the Independent</w:t>
      </w:r>
      <w:r w:rsidRPr="00D61613">
        <w:rPr>
          <w:rFonts w:ascii="Rockwell" w:hAnsi="Rockwell"/>
          <w:sz w:val="22"/>
          <w:szCs w:val="22"/>
        </w:rPr>
        <w:t xml:space="preserve"> Adjudicator</w:t>
      </w:r>
      <w:r>
        <w:rPr>
          <w:rFonts w:ascii="Rockwell" w:hAnsi="Rockwell"/>
          <w:sz w:val="22"/>
          <w:szCs w:val="22"/>
        </w:rPr>
        <w:t xml:space="preserve"> for Higher Education</w:t>
      </w:r>
      <w:r>
        <w:rPr>
          <w:rStyle w:val="FootnoteReference"/>
          <w:rFonts w:ascii="Rockwell" w:hAnsi="Rockwell"/>
          <w:sz w:val="22"/>
          <w:szCs w:val="22"/>
        </w:rPr>
        <w:footnoteReference w:id="1"/>
      </w:r>
      <w:r w:rsidRPr="00D61613">
        <w:rPr>
          <w:rFonts w:ascii="Rockwell" w:hAnsi="Rockwell"/>
          <w:sz w:val="22"/>
          <w:szCs w:val="22"/>
        </w:rPr>
        <w:t>.</w:t>
      </w:r>
    </w:p>
    <w:p w14:paraId="72744B9B" w14:textId="77777777" w:rsidR="00BB4EF8" w:rsidRDefault="00BB4EF8" w:rsidP="009E2FD6">
      <w:pPr>
        <w:jc w:val="both"/>
        <w:rPr>
          <w:rFonts w:ascii="Rockwell" w:hAnsi="Rockwell"/>
          <w:sz w:val="22"/>
          <w:szCs w:val="22"/>
        </w:rPr>
      </w:pPr>
      <w:r>
        <w:rPr>
          <w:rFonts w:ascii="Rockwell" w:hAnsi="Rockwell"/>
          <w:sz w:val="22"/>
          <w:szCs w:val="22"/>
        </w:rPr>
        <w:t xml:space="preserve"> </w:t>
      </w:r>
    </w:p>
    <w:p w14:paraId="7285759D" w14:textId="0ECEDC7B" w:rsidR="00BB4EF8" w:rsidRDefault="00BB4EF8" w:rsidP="009E2FD6">
      <w:pPr>
        <w:jc w:val="both"/>
        <w:rPr>
          <w:rFonts w:ascii="Rockwell" w:hAnsi="Rockwell"/>
          <w:sz w:val="22"/>
          <w:szCs w:val="22"/>
        </w:rPr>
      </w:pPr>
      <w:r w:rsidRPr="002F002D">
        <w:rPr>
          <w:rFonts w:ascii="Rockwell" w:hAnsi="Rockwell"/>
          <w:sz w:val="22"/>
          <w:szCs w:val="22"/>
          <w:u w:val="single"/>
        </w:rPr>
        <w:t xml:space="preserve">An appeal review should normally be completed in no more than </w:t>
      </w:r>
      <w:r w:rsidR="00925319" w:rsidRPr="002F002D">
        <w:rPr>
          <w:rFonts w:ascii="Rockwell" w:hAnsi="Rockwell"/>
          <w:sz w:val="22"/>
          <w:szCs w:val="22"/>
          <w:u w:val="single"/>
        </w:rPr>
        <w:t>30</w:t>
      </w:r>
      <w:r w:rsidRPr="002F002D">
        <w:rPr>
          <w:rFonts w:ascii="Rockwell" w:hAnsi="Rockwell"/>
          <w:sz w:val="22"/>
          <w:szCs w:val="22"/>
          <w:u w:val="single"/>
        </w:rPr>
        <w:t xml:space="preserve"> working days</w:t>
      </w:r>
      <w:r w:rsidRPr="00925319">
        <w:rPr>
          <w:rFonts w:ascii="Rockwell" w:hAnsi="Rockwell"/>
          <w:sz w:val="22"/>
          <w:szCs w:val="22"/>
        </w:rPr>
        <w:t>.</w:t>
      </w:r>
    </w:p>
    <w:p w14:paraId="1CC9095D" w14:textId="77777777" w:rsidR="00BB4EF8" w:rsidRDefault="00BB4EF8" w:rsidP="009E2FD6">
      <w:pPr>
        <w:jc w:val="both"/>
        <w:rPr>
          <w:rFonts w:ascii="Rockwell" w:hAnsi="Rockwell"/>
          <w:sz w:val="22"/>
          <w:szCs w:val="22"/>
        </w:rPr>
      </w:pPr>
    </w:p>
    <w:tbl>
      <w:tblPr>
        <w:tblW w:w="0" w:type="auto"/>
        <w:tblLook w:val="01E0" w:firstRow="1" w:lastRow="1" w:firstColumn="1" w:lastColumn="1" w:noHBand="0" w:noVBand="0"/>
      </w:tblPr>
      <w:tblGrid>
        <w:gridCol w:w="6345"/>
        <w:gridCol w:w="2177"/>
      </w:tblGrid>
      <w:tr w:rsidR="00BB4EF8" w:rsidRPr="00554FE9" w14:paraId="175B37B9" w14:textId="77777777" w:rsidTr="00F822A9">
        <w:tc>
          <w:tcPr>
            <w:tcW w:w="6345" w:type="dxa"/>
            <w:shd w:val="clear" w:color="auto" w:fill="000000"/>
          </w:tcPr>
          <w:p w14:paraId="6778F260" w14:textId="77777777" w:rsidR="00BB4EF8" w:rsidRPr="00554FE9" w:rsidRDefault="00BB4EF8" w:rsidP="009E2FD6">
            <w:pPr>
              <w:tabs>
                <w:tab w:val="left" w:pos="2775"/>
                <w:tab w:val="left" w:pos="3300"/>
              </w:tabs>
              <w:jc w:val="both"/>
              <w:rPr>
                <w:rFonts w:ascii="Rockwell" w:hAnsi="Rockwell"/>
                <w:b/>
                <w:bCs/>
              </w:rPr>
            </w:pPr>
            <w:r w:rsidRPr="00554FE9">
              <w:rPr>
                <w:rFonts w:ascii="Rockwell" w:hAnsi="Rockwell"/>
                <w:b/>
                <w:bCs/>
              </w:rPr>
              <w:t xml:space="preserve">THE STAGE TWO </w:t>
            </w:r>
            <w:r w:rsidR="001643D9">
              <w:rPr>
                <w:rFonts w:ascii="Rockwell" w:hAnsi="Rockwell"/>
                <w:b/>
                <w:bCs/>
              </w:rPr>
              <w:t xml:space="preserve">APPEAL </w:t>
            </w:r>
            <w:r w:rsidRPr="00554FE9">
              <w:rPr>
                <w:rFonts w:ascii="Rockwell" w:hAnsi="Rockwell"/>
                <w:b/>
                <w:bCs/>
              </w:rPr>
              <w:t>HEARING:</w:t>
            </w:r>
            <w:r w:rsidRPr="00554FE9">
              <w:rPr>
                <w:rFonts w:ascii="Rockwell" w:hAnsi="Rockwell"/>
                <w:b/>
                <w:bCs/>
              </w:rPr>
              <w:tab/>
            </w:r>
          </w:p>
        </w:tc>
        <w:tc>
          <w:tcPr>
            <w:tcW w:w="2177" w:type="dxa"/>
            <w:shd w:val="clear" w:color="auto" w:fill="D9D9D9"/>
          </w:tcPr>
          <w:p w14:paraId="25F7328E" w14:textId="77777777" w:rsidR="00BB4EF8" w:rsidRPr="00554FE9" w:rsidRDefault="00BB4EF8" w:rsidP="009E2FD6">
            <w:pPr>
              <w:jc w:val="both"/>
              <w:rPr>
                <w:rFonts w:ascii="Rockwell" w:hAnsi="Rockwell"/>
                <w:b/>
              </w:rPr>
            </w:pPr>
          </w:p>
        </w:tc>
      </w:tr>
    </w:tbl>
    <w:p w14:paraId="21756849" w14:textId="77777777" w:rsidR="00BB4EF8" w:rsidRPr="00D61613" w:rsidRDefault="00BB4EF8" w:rsidP="009E2FD6">
      <w:pPr>
        <w:jc w:val="both"/>
        <w:rPr>
          <w:rFonts w:ascii="Rockwell" w:hAnsi="Rockwell"/>
          <w:sz w:val="22"/>
          <w:szCs w:val="22"/>
        </w:rPr>
      </w:pPr>
    </w:p>
    <w:p w14:paraId="302E7536" w14:textId="77777777" w:rsidR="00BB4EF8" w:rsidRPr="00D61613" w:rsidRDefault="00BB4EF8" w:rsidP="009E2FD6">
      <w:pPr>
        <w:ind w:left="720" w:hanging="720"/>
        <w:jc w:val="both"/>
        <w:rPr>
          <w:rFonts w:ascii="Rockwell" w:hAnsi="Rockwell"/>
          <w:color w:val="000000"/>
          <w:sz w:val="22"/>
          <w:szCs w:val="22"/>
        </w:rPr>
      </w:pPr>
      <w:r w:rsidRPr="00D61613">
        <w:rPr>
          <w:rFonts w:ascii="Rockwell" w:hAnsi="Rockwell"/>
          <w:sz w:val="22"/>
          <w:szCs w:val="22"/>
        </w:rPr>
        <w:t xml:space="preserve">The membership of a Stage Two </w:t>
      </w:r>
      <w:r w:rsidR="001643D9">
        <w:rPr>
          <w:rFonts w:ascii="Rockwell" w:hAnsi="Rockwell"/>
          <w:sz w:val="22"/>
          <w:szCs w:val="22"/>
        </w:rPr>
        <w:t xml:space="preserve">Appeal </w:t>
      </w:r>
      <w:r w:rsidRPr="00D61613">
        <w:rPr>
          <w:rFonts w:ascii="Rockwell" w:hAnsi="Rockwell"/>
          <w:color w:val="000000"/>
          <w:sz w:val="22"/>
          <w:szCs w:val="22"/>
        </w:rPr>
        <w:t>Panel will be:</w:t>
      </w:r>
    </w:p>
    <w:p w14:paraId="01537768" w14:textId="77777777" w:rsidR="00BB4EF8" w:rsidRPr="00D61613" w:rsidRDefault="00BB4EF8" w:rsidP="009E2FD6">
      <w:pPr>
        <w:ind w:left="720" w:hanging="720"/>
        <w:jc w:val="both"/>
        <w:rPr>
          <w:rFonts w:ascii="Rockwell" w:hAnsi="Rockwell"/>
          <w:sz w:val="22"/>
          <w:szCs w:val="22"/>
        </w:rPr>
      </w:pPr>
    </w:p>
    <w:p w14:paraId="7A187BA3" w14:textId="3BF3B405" w:rsidR="00BB4EF8" w:rsidRPr="00D61613" w:rsidRDefault="00FA1815" w:rsidP="009E2FD6">
      <w:pPr>
        <w:numPr>
          <w:ilvl w:val="0"/>
          <w:numId w:val="17"/>
        </w:numPr>
        <w:jc w:val="both"/>
        <w:rPr>
          <w:rFonts w:ascii="Rockwell" w:hAnsi="Rockwell"/>
          <w:sz w:val="22"/>
          <w:szCs w:val="22"/>
        </w:rPr>
      </w:pPr>
      <w:r>
        <w:rPr>
          <w:rFonts w:ascii="Rockwell" w:hAnsi="Rockwell"/>
          <w:sz w:val="22"/>
          <w:szCs w:val="22"/>
        </w:rPr>
        <w:t>Chair - a</w:t>
      </w:r>
      <w:r w:rsidR="00BB4EF8">
        <w:rPr>
          <w:rFonts w:ascii="Rockwell" w:hAnsi="Rockwell"/>
          <w:sz w:val="22"/>
          <w:szCs w:val="22"/>
        </w:rPr>
        <w:t xml:space="preserve"> </w:t>
      </w:r>
      <w:r w:rsidR="00BB4EF8" w:rsidRPr="00D61613">
        <w:rPr>
          <w:rFonts w:ascii="Rockwell" w:hAnsi="Rockwell"/>
          <w:sz w:val="22"/>
          <w:szCs w:val="22"/>
        </w:rPr>
        <w:t>Dean of</w:t>
      </w:r>
      <w:r w:rsidR="00980EC2">
        <w:rPr>
          <w:rFonts w:ascii="Rockwell" w:hAnsi="Rockwell"/>
          <w:sz w:val="22"/>
          <w:szCs w:val="22"/>
        </w:rPr>
        <w:t xml:space="preserve"> </w:t>
      </w:r>
      <w:r w:rsidR="001643D9">
        <w:rPr>
          <w:rFonts w:ascii="Rockwell" w:hAnsi="Rockwell"/>
          <w:sz w:val="22"/>
          <w:szCs w:val="22"/>
        </w:rPr>
        <w:t xml:space="preserve">a </w:t>
      </w:r>
      <w:r w:rsidR="00980EC2">
        <w:rPr>
          <w:rFonts w:ascii="Rockwell" w:hAnsi="Rockwell"/>
          <w:sz w:val="22"/>
          <w:szCs w:val="22"/>
        </w:rPr>
        <w:t>Faculty</w:t>
      </w:r>
      <w:r w:rsidR="00D3743F">
        <w:rPr>
          <w:rFonts w:ascii="Rockwell" w:hAnsi="Rockwell"/>
          <w:sz w:val="22"/>
          <w:szCs w:val="22"/>
        </w:rPr>
        <w:t xml:space="preserve"> </w:t>
      </w:r>
      <w:r w:rsidR="00BB4EF8" w:rsidRPr="00D61613">
        <w:rPr>
          <w:rFonts w:ascii="Rockwell" w:hAnsi="Rockwell"/>
          <w:sz w:val="22"/>
          <w:szCs w:val="22"/>
        </w:rPr>
        <w:t>other than that to which the student belongs</w:t>
      </w:r>
      <w:r w:rsidR="00980EC2">
        <w:rPr>
          <w:rFonts w:ascii="Rockwell" w:hAnsi="Rockwell"/>
          <w:sz w:val="22"/>
          <w:szCs w:val="22"/>
        </w:rPr>
        <w:t>,</w:t>
      </w:r>
      <w:r w:rsidR="001643D9">
        <w:rPr>
          <w:rFonts w:ascii="Rockwell" w:hAnsi="Rockwell"/>
          <w:sz w:val="22"/>
          <w:szCs w:val="22"/>
        </w:rPr>
        <w:t xml:space="preserve"> </w:t>
      </w:r>
      <w:r w:rsidR="00980EC2">
        <w:rPr>
          <w:rFonts w:ascii="Rockwell" w:hAnsi="Rockwell"/>
          <w:sz w:val="22"/>
          <w:szCs w:val="22"/>
        </w:rPr>
        <w:t>or their nominee</w:t>
      </w:r>
      <w:r w:rsidR="001643D9">
        <w:rPr>
          <w:rFonts w:ascii="Rockwell" w:hAnsi="Rockwell"/>
          <w:sz w:val="22"/>
          <w:szCs w:val="22"/>
        </w:rPr>
        <w:t>.</w:t>
      </w:r>
    </w:p>
    <w:p w14:paraId="3A5598E2" w14:textId="03ECBF35" w:rsidR="00BB4EF8" w:rsidRPr="00D61613" w:rsidRDefault="00BB4EF8" w:rsidP="009E2FD6">
      <w:pPr>
        <w:numPr>
          <w:ilvl w:val="0"/>
          <w:numId w:val="17"/>
        </w:numPr>
        <w:jc w:val="both"/>
        <w:rPr>
          <w:rFonts w:ascii="Rockwell" w:hAnsi="Rockwell"/>
          <w:sz w:val="22"/>
          <w:szCs w:val="22"/>
        </w:rPr>
      </w:pPr>
      <w:r>
        <w:rPr>
          <w:rFonts w:ascii="Rockwell" w:hAnsi="Rockwell"/>
          <w:sz w:val="22"/>
          <w:szCs w:val="22"/>
        </w:rPr>
        <w:t>A s</w:t>
      </w:r>
      <w:r w:rsidRPr="00D61613">
        <w:rPr>
          <w:rFonts w:ascii="Rockwell" w:hAnsi="Rockwell"/>
          <w:sz w:val="22"/>
          <w:szCs w:val="22"/>
        </w:rPr>
        <w:t xml:space="preserve">enior member of academic staff from </w:t>
      </w:r>
      <w:r w:rsidR="00980EC2">
        <w:rPr>
          <w:rFonts w:ascii="Rockwell" w:hAnsi="Rockwell"/>
          <w:sz w:val="22"/>
          <w:szCs w:val="22"/>
        </w:rPr>
        <w:t xml:space="preserve">a Faculty </w:t>
      </w:r>
      <w:r w:rsidR="00980EC2" w:rsidRPr="00D61613">
        <w:rPr>
          <w:rFonts w:ascii="Rockwell" w:hAnsi="Rockwell"/>
          <w:sz w:val="22"/>
          <w:szCs w:val="22"/>
        </w:rPr>
        <w:t>other than that to which the student belongs</w:t>
      </w:r>
      <w:r>
        <w:rPr>
          <w:rFonts w:ascii="Rockwell" w:hAnsi="Rockwell"/>
          <w:sz w:val="22"/>
          <w:szCs w:val="22"/>
        </w:rPr>
        <w:t>.</w:t>
      </w:r>
    </w:p>
    <w:p w14:paraId="4F303433" w14:textId="73A5C0FC" w:rsidR="00BB4EF8" w:rsidRDefault="00BB4EF8" w:rsidP="009E2FD6">
      <w:pPr>
        <w:numPr>
          <w:ilvl w:val="0"/>
          <w:numId w:val="17"/>
        </w:numPr>
        <w:jc w:val="both"/>
        <w:rPr>
          <w:rFonts w:ascii="Rockwell" w:hAnsi="Rockwell"/>
          <w:sz w:val="22"/>
          <w:szCs w:val="22"/>
        </w:rPr>
      </w:pPr>
      <w:r>
        <w:rPr>
          <w:rFonts w:ascii="Rockwell" w:hAnsi="Rockwell"/>
          <w:sz w:val="22"/>
          <w:szCs w:val="22"/>
        </w:rPr>
        <w:t xml:space="preserve">A </w:t>
      </w:r>
      <w:r w:rsidRPr="00D61613">
        <w:rPr>
          <w:rFonts w:ascii="Rockwell" w:hAnsi="Rockwell"/>
          <w:sz w:val="22"/>
          <w:szCs w:val="22"/>
        </w:rPr>
        <w:t>Student</w:t>
      </w:r>
      <w:r>
        <w:rPr>
          <w:rFonts w:ascii="Rockwell" w:hAnsi="Rockwell"/>
          <w:sz w:val="22"/>
          <w:szCs w:val="22"/>
        </w:rPr>
        <w:t>s’</w:t>
      </w:r>
      <w:r w:rsidR="00D3743F">
        <w:rPr>
          <w:rFonts w:ascii="Rockwell" w:hAnsi="Rockwell"/>
          <w:sz w:val="22"/>
          <w:szCs w:val="22"/>
        </w:rPr>
        <w:t xml:space="preserve"> Union representative</w:t>
      </w:r>
      <w:r>
        <w:rPr>
          <w:rFonts w:ascii="Rockwell" w:hAnsi="Rockwell"/>
          <w:sz w:val="22"/>
          <w:szCs w:val="22"/>
        </w:rPr>
        <w:t>.</w:t>
      </w:r>
    </w:p>
    <w:p w14:paraId="669683F1" w14:textId="77777777" w:rsidR="00EB5F55" w:rsidRPr="00D61613" w:rsidRDefault="00EB5F55" w:rsidP="00EB5F55">
      <w:pPr>
        <w:jc w:val="both"/>
        <w:rPr>
          <w:rFonts w:ascii="Rockwell" w:hAnsi="Rockwell"/>
          <w:sz w:val="22"/>
          <w:szCs w:val="22"/>
        </w:rPr>
      </w:pPr>
    </w:p>
    <w:p w14:paraId="074F5F4D" w14:textId="5072FE67" w:rsidR="000754ED" w:rsidRPr="00EB5F55" w:rsidRDefault="00EB5F55" w:rsidP="009E2FD6">
      <w:pPr>
        <w:jc w:val="both"/>
        <w:rPr>
          <w:rFonts w:ascii="Rockwell" w:hAnsi="Rockwell"/>
          <w:sz w:val="22"/>
          <w:szCs w:val="22"/>
        </w:rPr>
      </w:pPr>
      <w:r w:rsidRPr="00EB5F55">
        <w:rPr>
          <w:rFonts w:ascii="Rockwell" w:hAnsi="Rockwell"/>
          <w:sz w:val="22"/>
          <w:szCs w:val="22"/>
        </w:rPr>
        <w:t>Members of the appeal panel shall not have been involved in the original Academic Misconduct Hearing.</w:t>
      </w:r>
    </w:p>
    <w:p w14:paraId="55FFC69B" w14:textId="77777777" w:rsidR="00EB5F55" w:rsidRDefault="00EB5F55" w:rsidP="009E2FD6">
      <w:pPr>
        <w:jc w:val="both"/>
        <w:rPr>
          <w:rFonts w:ascii="Rockwell" w:hAnsi="Rockwell"/>
          <w:sz w:val="22"/>
          <w:szCs w:val="22"/>
        </w:rPr>
      </w:pPr>
    </w:p>
    <w:p w14:paraId="0B07B297" w14:textId="77777777" w:rsidR="00BB4EF8" w:rsidRDefault="000754ED" w:rsidP="009E2FD6">
      <w:pPr>
        <w:jc w:val="both"/>
        <w:rPr>
          <w:rFonts w:ascii="Rockwell" w:hAnsi="Rockwell"/>
          <w:sz w:val="22"/>
          <w:szCs w:val="22"/>
        </w:rPr>
      </w:pPr>
      <w:r>
        <w:rPr>
          <w:rFonts w:ascii="Rockwell" w:hAnsi="Rockwell"/>
          <w:sz w:val="22"/>
          <w:szCs w:val="22"/>
        </w:rPr>
        <w:t>Also present will be:</w:t>
      </w:r>
    </w:p>
    <w:p w14:paraId="415B0560" w14:textId="77777777" w:rsidR="000754ED" w:rsidRPr="00D61613" w:rsidRDefault="000754ED" w:rsidP="009E2FD6">
      <w:pPr>
        <w:jc w:val="both"/>
        <w:rPr>
          <w:rFonts w:ascii="Rockwell" w:hAnsi="Rockwell"/>
          <w:sz w:val="22"/>
          <w:szCs w:val="22"/>
        </w:rPr>
      </w:pPr>
    </w:p>
    <w:p w14:paraId="5BEA0865" w14:textId="77777777" w:rsidR="000754ED" w:rsidRDefault="002E0680" w:rsidP="00F822A9">
      <w:pPr>
        <w:pStyle w:val="ListParagraph"/>
        <w:numPr>
          <w:ilvl w:val="0"/>
          <w:numId w:val="30"/>
        </w:numPr>
        <w:jc w:val="both"/>
        <w:rPr>
          <w:rFonts w:ascii="Rockwell" w:hAnsi="Rockwell"/>
          <w:sz w:val="22"/>
          <w:szCs w:val="22"/>
        </w:rPr>
      </w:pPr>
      <w:r>
        <w:rPr>
          <w:rFonts w:ascii="Rockwell" w:hAnsi="Rockwell"/>
          <w:sz w:val="22"/>
          <w:szCs w:val="22"/>
        </w:rPr>
        <w:t>The s</w:t>
      </w:r>
      <w:r w:rsidR="000754ED">
        <w:rPr>
          <w:rFonts w:ascii="Rockwell" w:hAnsi="Rockwell"/>
          <w:sz w:val="22"/>
          <w:szCs w:val="22"/>
        </w:rPr>
        <w:t>tudent (and friend/representative) – to present the appeal</w:t>
      </w:r>
    </w:p>
    <w:p w14:paraId="05BB0E53" w14:textId="77777777" w:rsidR="000754ED" w:rsidRPr="00F822A9" w:rsidRDefault="000754ED" w:rsidP="00F822A9">
      <w:pPr>
        <w:pStyle w:val="ListParagraph"/>
        <w:numPr>
          <w:ilvl w:val="0"/>
          <w:numId w:val="30"/>
        </w:numPr>
        <w:jc w:val="both"/>
        <w:rPr>
          <w:rFonts w:ascii="Rockwell" w:hAnsi="Rockwell"/>
          <w:sz w:val="22"/>
          <w:szCs w:val="22"/>
        </w:rPr>
      </w:pPr>
      <w:r>
        <w:rPr>
          <w:rFonts w:ascii="Rockwell" w:hAnsi="Rockwell"/>
          <w:color w:val="000000"/>
          <w:sz w:val="22"/>
          <w:szCs w:val="22"/>
        </w:rPr>
        <w:t>A representative from the Stage One Academic Misconduct Panel to present a response to the appeal</w:t>
      </w:r>
    </w:p>
    <w:p w14:paraId="39B266E7" w14:textId="77777777" w:rsidR="000754ED" w:rsidRDefault="000754ED" w:rsidP="000754ED">
      <w:pPr>
        <w:pStyle w:val="ListParagraph"/>
        <w:numPr>
          <w:ilvl w:val="0"/>
          <w:numId w:val="30"/>
        </w:numPr>
        <w:jc w:val="both"/>
        <w:rPr>
          <w:rFonts w:ascii="Rockwell" w:hAnsi="Rockwell"/>
          <w:color w:val="000000"/>
          <w:sz w:val="22"/>
          <w:szCs w:val="22"/>
        </w:rPr>
      </w:pPr>
      <w:r w:rsidRPr="000754ED">
        <w:rPr>
          <w:rFonts w:ascii="Rockwell" w:hAnsi="Rockwell"/>
          <w:color w:val="000000"/>
          <w:sz w:val="22"/>
          <w:szCs w:val="22"/>
        </w:rPr>
        <w:t>A senior member of staff from the Conduct and Appeals Unit (</w:t>
      </w:r>
      <w:r>
        <w:rPr>
          <w:rFonts w:ascii="Rockwell" w:hAnsi="Rockwell"/>
          <w:color w:val="000000"/>
          <w:sz w:val="22"/>
          <w:szCs w:val="22"/>
        </w:rPr>
        <w:t>with no prior</w:t>
      </w:r>
      <w:r w:rsidRPr="000754ED">
        <w:rPr>
          <w:rFonts w:ascii="Rockwell" w:hAnsi="Rockwell"/>
          <w:color w:val="000000"/>
          <w:sz w:val="22"/>
          <w:szCs w:val="22"/>
        </w:rPr>
        <w:t xml:space="preserve"> involvement in the case at stage one) to provide procedural and regulatory advice to the panel.</w:t>
      </w:r>
    </w:p>
    <w:p w14:paraId="2224C427" w14:textId="77777777" w:rsidR="000754ED" w:rsidRDefault="000754ED" w:rsidP="000754ED">
      <w:pPr>
        <w:pStyle w:val="ListParagraph"/>
        <w:numPr>
          <w:ilvl w:val="0"/>
          <w:numId w:val="30"/>
        </w:numPr>
        <w:jc w:val="both"/>
        <w:rPr>
          <w:rFonts w:ascii="Rockwell" w:hAnsi="Rockwell"/>
          <w:color w:val="000000"/>
          <w:sz w:val="22"/>
          <w:szCs w:val="22"/>
        </w:rPr>
      </w:pPr>
      <w:r w:rsidRPr="000754ED">
        <w:rPr>
          <w:rFonts w:ascii="Rockwell" w:hAnsi="Rockwell"/>
          <w:sz w:val="22"/>
          <w:szCs w:val="22"/>
        </w:rPr>
        <w:t xml:space="preserve">An officer of the </w:t>
      </w:r>
      <w:r w:rsidRPr="000754ED">
        <w:rPr>
          <w:rFonts w:ascii="Rockwell" w:hAnsi="Rockwell"/>
          <w:color w:val="000000"/>
          <w:sz w:val="22"/>
          <w:szCs w:val="22"/>
        </w:rPr>
        <w:t xml:space="preserve">Conduct and Appeals Unit to </w:t>
      </w:r>
      <w:r>
        <w:rPr>
          <w:rFonts w:ascii="Rockwell" w:hAnsi="Rockwell"/>
          <w:color w:val="000000"/>
          <w:sz w:val="22"/>
          <w:szCs w:val="22"/>
        </w:rPr>
        <w:t>take notes</w:t>
      </w:r>
    </w:p>
    <w:p w14:paraId="7785D0E0" w14:textId="77777777" w:rsidR="000754ED" w:rsidRPr="00F822A9" w:rsidRDefault="000754ED" w:rsidP="00F822A9">
      <w:pPr>
        <w:pStyle w:val="ListParagraph"/>
        <w:jc w:val="both"/>
        <w:rPr>
          <w:rFonts w:ascii="Rockwell" w:hAnsi="Rockwell"/>
          <w:sz w:val="22"/>
          <w:szCs w:val="22"/>
        </w:rPr>
      </w:pPr>
    </w:p>
    <w:p w14:paraId="63AB10DE" w14:textId="313CBF23" w:rsidR="00980EC2" w:rsidRDefault="00980EC2" w:rsidP="009E2FD6">
      <w:pPr>
        <w:jc w:val="both"/>
        <w:rPr>
          <w:rFonts w:ascii="Rockwell" w:hAnsi="Rockwell" w:cs="Rockwell"/>
          <w:color w:val="000000"/>
          <w:sz w:val="22"/>
          <w:szCs w:val="22"/>
          <w:lang w:eastAsia="en-GB"/>
        </w:rPr>
      </w:pPr>
      <w:r>
        <w:rPr>
          <w:rFonts w:ascii="Rockwell" w:hAnsi="Rockwell"/>
          <w:color w:val="000000"/>
          <w:sz w:val="22"/>
          <w:szCs w:val="22"/>
        </w:rPr>
        <w:t xml:space="preserve">An audio recording will also be taken. </w:t>
      </w:r>
      <w:r>
        <w:rPr>
          <w:rFonts w:ascii="Rockwell" w:hAnsi="Rockwell" w:cs="Rockwell"/>
          <w:color w:val="000000"/>
          <w:sz w:val="22"/>
          <w:szCs w:val="22"/>
          <w:lang w:eastAsia="en-GB"/>
        </w:rPr>
        <w:t>Students who would prefer not to have an audio recording made will be required to request this in advance</w:t>
      </w:r>
      <w:r w:rsidR="00FA1815">
        <w:rPr>
          <w:rFonts w:ascii="Rockwell" w:hAnsi="Rockwell" w:cs="Rockwell"/>
          <w:color w:val="000000"/>
          <w:sz w:val="22"/>
          <w:szCs w:val="22"/>
          <w:lang w:eastAsia="en-GB"/>
        </w:rPr>
        <w:t>.</w:t>
      </w:r>
    </w:p>
    <w:p w14:paraId="0979D1C4" w14:textId="77777777" w:rsidR="00D47E90" w:rsidRDefault="00D47E90" w:rsidP="009E2FD6">
      <w:pPr>
        <w:jc w:val="both"/>
        <w:rPr>
          <w:rFonts w:ascii="Rockwell" w:hAnsi="Rockwell" w:cs="Rockwell"/>
          <w:color w:val="000000"/>
          <w:sz w:val="22"/>
          <w:szCs w:val="22"/>
          <w:lang w:eastAsia="en-GB"/>
        </w:rPr>
      </w:pPr>
    </w:p>
    <w:p w14:paraId="2170F33E" w14:textId="52B10E9F" w:rsidR="00D47E90" w:rsidRPr="00D61613" w:rsidRDefault="00D47E90" w:rsidP="009E2FD6">
      <w:pPr>
        <w:jc w:val="both"/>
        <w:rPr>
          <w:rFonts w:ascii="Rockwell" w:hAnsi="Rockwell"/>
          <w:color w:val="000000"/>
          <w:sz w:val="22"/>
          <w:szCs w:val="22"/>
        </w:rPr>
      </w:pPr>
      <w:r>
        <w:rPr>
          <w:rFonts w:ascii="Rockwell" w:hAnsi="Rockwell" w:cs="Rockwell"/>
          <w:sz w:val="22"/>
          <w:szCs w:val="22"/>
          <w:lang w:eastAsia="en-GB"/>
        </w:rPr>
        <w:t>Both parties may call witnesses to appear before the panel</w:t>
      </w:r>
    </w:p>
    <w:p w14:paraId="34B2F947" w14:textId="77777777" w:rsidR="00BB4EF8" w:rsidRPr="00D61613" w:rsidRDefault="00BB4EF8" w:rsidP="009E2FD6">
      <w:pPr>
        <w:ind w:left="720"/>
        <w:jc w:val="both"/>
        <w:rPr>
          <w:rFonts w:ascii="Rockwell" w:hAnsi="Rockwell"/>
          <w:sz w:val="22"/>
          <w:szCs w:val="22"/>
        </w:rPr>
      </w:pPr>
    </w:p>
    <w:p w14:paraId="5111F075" w14:textId="77777777" w:rsidR="00BB4EF8" w:rsidRDefault="00BB4EF8" w:rsidP="009E2FD6">
      <w:pPr>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 xml:space="preserve">The appellant must be given written notice, at least </w:t>
      </w:r>
      <w:r w:rsidR="00925319">
        <w:rPr>
          <w:rFonts w:ascii="Rockwell" w:eastAsia="SimSun" w:hAnsi="Rockwell"/>
          <w:color w:val="000000"/>
          <w:sz w:val="22"/>
          <w:szCs w:val="22"/>
          <w:lang w:eastAsia="zh-CN"/>
        </w:rPr>
        <w:t>7</w:t>
      </w:r>
      <w:r w:rsidRPr="004059EF">
        <w:rPr>
          <w:rFonts w:ascii="Rockwell" w:eastAsia="SimSun" w:hAnsi="Rockwell"/>
          <w:color w:val="000000"/>
          <w:sz w:val="22"/>
          <w:szCs w:val="22"/>
          <w:lang w:eastAsia="zh-CN"/>
        </w:rPr>
        <w:t xml:space="preserve"> working days prior to the hearing, of the date and place of the hearing, and a copy of the University’s </w:t>
      </w:r>
      <w:r w:rsidR="00FA1815">
        <w:rPr>
          <w:rFonts w:ascii="Rockwell" w:eastAsia="SimSun" w:hAnsi="Rockwell"/>
          <w:color w:val="000000"/>
          <w:sz w:val="22"/>
          <w:szCs w:val="22"/>
          <w:lang w:eastAsia="zh-CN"/>
        </w:rPr>
        <w:t>Academic M</w:t>
      </w:r>
      <w:r w:rsidRPr="004059EF">
        <w:rPr>
          <w:rFonts w:ascii="Rockwell" w:eastAsia="SimSun" w:hAnsi="Rockwell"/>
          <w:color w:val="000000"/>
          <w:sz w:val="22"/>
          <w:szCs w:val="22"/>
          <w:lang w:eastAsia="zh-CN"/>
        </w:rPr>
        <w:t xml:space="preserve">isconduct procedure, drawing attention to the appellant’s rights under the procedure.  The standard and burden of proof applied will be the same as at stage one of this procedure. </w:t>
      </w:r>
    </w:p>
    <w:p w14:paraId="3F06759F" w14:textId="77777777" w:rsidR="00EB5F55" w:rsidRDefault="00EB5F55" w:rsidP="009E2FD6">
      <w:pPr>
        <w:jc w:val="both"/>
        <w:rPr>
          <w:rFonts w:ascii="Rockwell" w:eastAsia="SimSun" w:hAnsi="Rockwell"/>
          <w:color w:val="000000"/>
          <w:sz w:val="22"/>
          <w:szCs w:val="22"/>
          <w:lang w:eastAsia="zh-CN"/>
        </w:rPr>
      </w:pPr>
    </w:p>
    <w:p w14:paraId="747ADCE8" w14:textId="2F586903" w:rsidR="00EB5F55" w:rsidRDefault="00EB5F55" w:rsidP="00EB5F55">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lastRenderedPageBreak/>
        <w:t>Students will be advised to contact the Students’ Union for advice and support.</w:t>
      </w:r>
      <w:r w:rsidRPr="00A10547">
        <w:rPr>
          <w:rFonts w:ascii="Rockwell" w:hAnsi="Rockwell" w:cs="Rockwell"/>
          <w:color w:val="000000"/>
          <w:sz w:val="22"/>
          <w:szCs w:val="22"/>
          <w:lang w:eastAsia="en-GB"/>
        </w:rPr>
        <w:t xml:space="preserve"> </w:t>
      </w:r>
      <w:r>
        <w:rPr>
          <w:rFonts w:ascii="Rockwell" w:hAnsi="Rockwell" w:cs="Rockwell"/>
          <w:color w:val="000000"/>
          <w:sz w:val="22"/>
          <w:szCs w:val="22"/>
          <w:lang w:eastAsia="en-GB"/>
        </w:rPr>
        <w:t xml:space="preserve">The Students’ Union Advice &amp; Support Centre can be contacted </w:t>
      </w:r>
      <w:r w:rsidRPr="009E2FD6">
        <w:rPr>
          <w:rFonts w:ascii="Rockwell" w:hAnsi="Rockwell"/>
          <w:bCs/>
          <w:sz w:val="22"/>
          <w:szCs w:val="22"/>
        </w:rPr>
        <w:t xml:space="preserve">via </w:t>
      </w:r>
      <w:r>
        <w:rPr>
          <w:rFonts w:ascii="Rockwell" w:hAnsi="Rockwell"/>
          <w:bCs/>
          <w:sz w:val="22"/>
          <w:szCs w:val="22"/>
        </w:rPr>
        <w:t xml:space="preserve">email to </w:t>
      </w:r>
      <w:hyperlink r:id="rId20" w:history="1">
        <w:r w:rsidR="00C47E22" w:rsidRPr="000F2EBD">
          <w:rPr>
            <w:rStyle w:val="Hyperlink"/>
            <w:rFonts w:ascii="Rockwell" w:hAnsi="Rockwell"/>
            <w:sz w:val="22"/>
            <w:szCs w:val="22"/>
          </w:rPr>
          <w:t>advice.wolvesunion@wlv.ac.uk</w:t>
        </w:r>
      </w:hyperlink>
      <w:r w:rsidRPr="009E2FD6">
        <w:rPr>
          <w:rFonts w:ascii="Rockwell" w:hAnsi="Rockwell"/>
          <w:color w:val="1F497D"/>
          <w:sz w:val="22"/>
          <w:szCs w:val="22"/>
        </w:rPr>
        <w:t xml:space="preserve"> </w:t>
      </w:r>
      <w:r>
        <w:rPr>
          <w:rFonts w:ascii="Rockwell" w:hAnsi="Rockwell"/>
          <w:sz w:val="22"/>
          <w:szCs w:val="22"/>
        </w:rPr>
        <w:t xml:space="preserve">or by calling 01902 322038. Details of the </w:t>
      </w:r>
      <w:r>
        <w:rPr>
          <w:rFonts w:ascii="Rockwell" w:hAnsi="Rockwell" w:cs="Rockwell"/>
          <w:color w:val="000000"/>
          <w:sz w:val="22"/>
          <w:szCs w:val="22"/>
          <w:lang w:eastAsia="en-GB"/>
        </w:rPr>
        <w:t xml:space="preserve">Students Union Representation Service are available on their website: </w:t>
      </w:r>
      <w:hyperlink r:id="rId21" w:history="1">
        <w:r w:rsidR="00A3056E" w:rsidRPr="000F2EBD">
          <w:rPr>
            <w:rStyle w:val="Hyperlink"/>
            <w:rFonts w:ascii="Rockwell" w:hAnsi="Rockwell" w:cs="Rockwell"/>
            <w:sz w:val="22"/>
            <w:szCs w:val="22"/>
            <w:lang w:eastAsia="en-GB"/>
          </w:rPr>
          <w:t>www.wolvesunion.org</w:t>
        </w:r>
      </w:hyperlink>
      <w:r w:rsidR="00A3056E">
        <w:rPr>
          <w:rFonts w:ascii="Rockwell" w:hAnsi="Rockwell" w:cs="Rockwell"/>
          <w:sz w:val="22"/>
          <w:szCs w:val="22"/>
          <w:lang w:eastAsia="en-GB"/>
        </w:rPr>
        <w:t xml:space="preserve"> </w:t>
      </w:r>
      <w:r w:rsidRPr="007623AC">
        <w:rPr>
          <w:rFonts w:ascii="Rockwell" w:hAnsi="Rockwell" w:cs="Rockwell"/>
          <w:sz w:val="22"/>
          <w:szCs w:val="22"/>
          <w:lang w:eastAsia="en-GB"/>
        </w:rPr>
        <w:t xml:space="preserve"> </w:t>
      </w:r>
      <w:r w:rsidR="007623AC">
        <w:rPr>
          <w:rFonts w:ascii="Rockwell" w:hAnsi="Rockwell" w:cs="Rockwell"/>
          <w:color w:val="000000"/>
          <w:sz w:val="22"/>
          <w:szCs w:val="22"/>
          <w:lang w:eastAsia="en-GB"/>
        </w:rPr>
        <w:t xml:space="preserve">and will </w:t>
      </w:r>
      <w:r>
        <w:rPr>
          <w:rFonts w:ascii="Rockwell" w:hAnsi="Rockwell" w:cs="Rockwell"/>
          <w:color w:val="000000"/>
          <w:sz w:val="22"/>
          <w:szCs w:val="22"/>
          <w:lang w:eastAsia="en-GB"/>
        </w:rPr>
        <w:t>be included in the invite letter.</w:t>
      </w:r>
    </w:p>
    <w:p w14:paraId="75DB2DD9" w14:textId="77777777" w:rsidR="00EB5F55" w:rsidRPr="004059EF" w:rsidRDefault="00EB5F55" w:rsidP="009E2FD6">
      <w:pPr>
        <w:jc w:val="both"/>
        <w:rPr>
          <w:rFonts w:ascii="Rockwell" w:eastAsia="SimSun" w:hAnsi="Rockwell"/>
          <w:color w:val="000000"/>
          <w:sz w:val="22"/>
          <w:szCs w:val="22"/>
          <w:lang w:eastAsia="zh-CN"/>
        </w:rPr>
      </w:pPr>
    </w:p>
    <w:p w14:paraId="6FF1A93D" w14:textId="77777777" w:rsidR="00BB4EF8" w:rsidRPr="004059EF" w:rsidRDefault="00BB4EF8" w:rsidP="009E2FD6">
      <w:pPr>
        <w:ind w:hanging="720"/>
        <w:jc w:val="both"/>
        <w:rPr>
          <w:rFonts w:ascii="Rockwell" w:eastAsia="SimSun" w:hAnsi="Rockwell"/>
          <w:color w:val="000000"/>
          <w:sz w:val="22"/>
          <w:szCs w:val="22"/>
          <w:lang w:eastAsia="zh-CN"/>
        </w:rPr>
      </w:pPr>
      <w:r w:rsidRPr="004059EF">
        <w:rPr>
          <w:rFonts w:ascii="Rockwell" w:eastAsia="SimSun" w:hAnsi="Rockwell"/>
          <w:color w:val="000000"/>
          <w:sz w:val="22"/>
          <w:szCs w:val="22"/>
          <w:lang w:eastAsia="zh-CN"/>
        </w:rPr>
        <w:tab/>
        <w:t xml:space="preserve">At least </w:t>
      </w:r>
      <w:r>
        <w:rPr>
          <w:rFonts w:ascii="Rockwell" w:eastAsia="SimSun" w:hAnsi="Rockwell"/>
          <w:color w:val="000000"/>
          <w:sz w:val="22"/>
          <w:szCs w:val="22"/>
          <w:lang w:eastAsia="zh-CN"/>
        </w:rPr>
        <w:t>5</w:t>
      </w:r>
      <w:r w:rsidRPr="004059EF">
        <w:rPr>
          <w:rFonts w:ascii="Rockwell" w:eastAsia="SimSun" w:hAnsi="Rockwell"/>
          <w:color w:val="000000"/>
          <w:sz w:val="22"/>
          <w:szCs w:val="22"/>
          <w:lang w:eastAsia="zh-CN"/>
        </w:rPr>
        <w:t xml:space="preserve"> working days before the hearing, members of the Stage Two Panel</w:t>
      </w:r>
      <w:r w:rsidRPr="004059EF">
        <w:rPr>
          <w:rFonts w:ascii="Rockwell" w:eastAsia="SimSun" w:hAnsi="Rockwell"/>
          <w:color w:val="FF0000"/>
          <w:sz w:val="22"/>
          <w:szCs w:val="22"/>
          <w:lang w:eastAsia="zh-CN"/>
        </w:rPr>
        <w:t xml:space="preserve"> </w:t>
      </w:r>
      <w:r w:rsidRPr="004059EF">
        <w:rPr>
          <w:rFonts w:ascii="Rockwell" w:eastAsia="SimSun" w:hAnsi="Rockwell"/>
          <w:color w:val="000000"/>
          <w:sz w:val="22"/>
          <w:szCs w:val="22"/>
          <w:lang w:eastAsia="zh-CN"/>
        </w:rPr>
        <w:t>and the appellant</w:t>
      </w:r>
      <w:r w:rsidR="005D66F5">
        <w:rPr>
          <w:rFonts w:ascii="Rockwell" w:eastAsia="SimSun" w:hAnsi="Rockwell"/>
          <w:color w:val="000000"/>
          <w:sz w:val="22"/>
          <w:szCs w:val="22"/>
          <w:lang w:eastAsia="zh-CN"/>
        </w:rPr>
        <w:t xml:space="preserve"> and the representative from the Faculty</w:t>
      </w:r>
      <w:r w:rsidRPr="004059EF">
        <w:rPr>
          <w:rFonts w:ascii="Rockwell" w:eastAsia="SimSun" w:hAnsi="Rockwell"/>
          <w:color w:val="FF0000"/>
          <w:sz w:val="22"/>
          <w:szCs w:val="22"/>
          <w:lang w:eastAsia="zh-CN"/>
        </w:rPr>
        <w:t xml:space="preserve"> </w:t>
      </w:r>
      <w:r w:rsidRPr="004059EF">
        <w:rPr>
          <w:rFonts w:ascii="Rockwell" w:eastAsia="SimSun" w:hAnsi="Rockwell"/>
          <w:color w:val="000000"/>
          <w:sz w:val="22"/>
          <w:szCs w:val="22"/>
          <w:lang w:eastAsia="zh-CN"/>
        </w:rPr>
        <w:t xml:space="preserve">will be provided with the appropriate documentation.  The appellant may also provide an additional written statement to the panel. </w:t>
      </w:r>
    </w:p>
    <w:p w14:paraId="24F672E3" w14:textId="77777777" w:rsidR="00BB4EF8" w:rsidRPr="004059EF" w:rsidRDefault="00BB4EF8" w:rsidP="009E2FD6">
      <w:pPr>
        <w:tabs>
          <w:tab w:val="left" w:pos="1260"/>
        </w:tabs>
        <w:ind w:left="720"/>
        <w:jc w:val="both"/>
        <w:rPr>
          <w:rFonts w:ascii="Rockwell" w:eastAsia="SimSun" w:hAnsi="Rockwell"/>
          <w:color w:val="000000"/>
          <w:sz w:val="22"/>
          <w:szCs w:val="22"/>
          <w:lang w:eastAsia="zh-CN"/>
        </w:rPr>
      </w:pPr>
    </w:p>
    <w:p w14:paraId="1DA22D55" w14:textId="77777777" w:rsidR="005D66F5" w:rsidRDefault="005D66F5" w:rsidP="009E2FD6">
      <w:pPr>
        <w:jc w:val="both"/>
        <w:rPr>
          <w:rFonts w:ascii="Rockwell" w:hAnsi="Rockwell" w:cs="Arial"/>
          <w:sz w:val="22"/>
          <w:szCs w:val="22"/>
        </w:rPr>
      </w:pPr>
      <w:r w:rsidRPr="00A63770">
        <w:rPr>
          <w:rFonts w:ascii="Rockwell" w:hAnsi="Rockwell" w:cs="Arial"/>
          <w:sz w:val="22"/>
          <w:szCs w:val="22"/>
        </w:rPr>
        <w:t xml:space="preserve">The </w:t>
      </w:r>
      <w:r>
        <w:rPr>
          <w:rFonts w:ascii="Rockwell" w:hAnsi="Rockwell" w:cs="Arial"/>
          <w:sz w:val="22"/>
          <w:szCs w:val="22"/>
        </w:rPr>
        <w:t>s</w:t>
      </w:r>
      <w:r w:rsidRPr="00A63770">
        <w:rPr>
          <w:rFonts w:ascii="Rockwell" w:hAnsi="Rockwell" w:cs="Arial"/>
          <w:sz w:val="22"/>
          <w:szCs w:val="22"/>
        </w:rPr>
        <w:t>tudent has the right to appear before and be hea</w:t>
      </w:r>
      <w:r>
        <w:rPr>
          <w:rFonts w:ascii="Rockwell" w:hAnsi="Rockwell" w:cs="Arial"/>
          <w:sz w:val="22"/>
          <w:szCs w:val="22"/>
        </w:rPr>
        <w:t xml:space="preserve">rd by the Stage Two panel.  They </w:t>
      </w:r>
      <w:r w:rsidRPr="00A63770">
        <w:rPr>
          <w:rFonts w:ascii="Rockwell" w:hAnsi="Rockwell" w:cs="Arial"/>
          <w:sz w:val="22"/>
          <w:szCs w:val="22"/>
        </w:rPr>
        <w:t xml:space="preserve">may be accompanied by a friend (the student shall be responsible for notifying the Conduct and Appeals Unit of the identity of the friend or witness not less than </w:t>
      </w:r>
      <w:r>
        <w:rPr>
          <w:rFonts w:ascii="Rockwell" w:hAnsi="Rockwell" w:cs="Arial"/>
          <w:sz w:val="22"/>
          <w:szCs w:val="22"/>
        </w:rPr>
        <w:t>2</w:t>
      </w:r>
      <w:r w:rsidRPr="00A63770">
        <w:rPr>
          <w:rFonts w:ascii="Rockwell" w:hAnsi="Rockwell" w:cs="Arial"/>
          <w:sz w:val="22"/>
          <w:szCs w:val="22"/>
        </w:rPr>
        <w:t xml:space="preserve"> working days prior to the hearing).</w:t>
      </w:r>
      <w:r>
        <w:rPr>
          <w:rFonts w:ascii="Rockwell" w:hAnsi="Rockwell" w:cs="Arial"/>
          <w:sz w:val="22"/>
          <w:szCs w:val="22"/>
        </w:rPr>
        <w:t xml:space="preserve">   The role of the friend can be either to provide support (in which case they would not be expected to speak) or to act as a representative (in which case the student would attend but the representative would speak on their behalf).</w:t>
      </w:r>
    </w:p>
    <w:p w14:paraId="71B1D890" w14:textId="77777777" w:rsidR="005D66F5" w:rsidRDefault="005D66F5" w:rsidP="009E2FD6">
      <w:pPr>
        <w:jc w:val="both"/>
        <w:rPr>
          <w:rFonts w:ascii="Rockwell" w:hAnsi="Rockwell" w:cs="Arial"/>
          <w:sz w:val="22"/>
          <w:szCs w:val="22"/>
        </w:rPr>
      </w:pPr>
    </w:p>
    <w:p w14:paraId="4B7CBB69" w14:textId="77777777" w:rsidR="005D66F5" w:rsidRDefault="005D66F5" w:rsidP="009E2FD6">
      <w:pPr>
        <w:autoSpaceDE w:val="0"/>
        <w:autoSpaceDN w:val="0"/>
        <w:adjustRightInd w:val="0"/>
        <w:jc w:val="both"/>
        <w:rPr>
          <w:rFonts w:ascii="Rockwell" w:hAnsi="Rockwell" w:cs="Rockwell"/>
          <w:sz w:val="22"/>
          <w:szCs w:val="22"/>
          <w:lang w:eastAsia="en-GB"/>
        </w:rPr>
      </w:pPr>
      <w:r>
        <w:rPr>
          <w:rFonts w:ascii="Rockwell" w:hAnsi="Rockwell" w:cs="Rockwell"/>
          <w:sz w:val="22"/>
          <w:szCs w:val="22"/>
          <w:lang w:eastAsia="en-GB"/>
        </w:rPr>
        <w:t xml:space="preserve">The Student would normally be expected to attend the </w:t>
      </w:r>
      <w:r w:rsidR="002E0680">
        <w:rPr>
          <w:rFonts w:ascii="Rockwell" w:hAnsi="Rockwell" w:cs="Rockwell"/>
          <w:sz w:val="22"/>
          <w:szCs w:val="22"/>
          <w:lang w:eastAsia="en-GB"/>
        </w:rPr>
        <w:t>s</w:t>
      </w:r>
      <w:r>
        <w:rPr>
          <w:rFonts w:ascii="Rockwell" w:hAnsi="Rockwell" w:cs="Rockwell"/>
          <w:sz w:val="22"/>
          <w:szCs w:val="22"/>
          <w:lang w:eastAsia="en-GB"/>
        </w:rPr>
        <w:t xml:space="preserve">tage </w:t>
      </w:r>
      <w:r w:rsidR="002E0680">
        <w:rPr>
          <w:rFonts w:ascii="Rockwell" w:hAnsi="Rockwell" w:cs="Rockwell"/>
          <w:sz w:val="22"/>
          <w:szCs w:val="22"/>
          <w:lang w:eastAsia="en-GB"/>
        </w:rPr>
        <w:t>t</w:t>
      </w:r>
      <w:r>
        <w:rPr>
          <w:rFonts w:ascii="Rockwell" w:hAnsi="Rockwell" w:cs="Rockwell"/>
          <w:sz w:val="22"/>
          <w:szCs w:val="22"/>
          <w:lang w:eastAsia="en-GB"/>
        </w:rPr>
        <w:t xml:space="preserve">wo hearing. If the student fails to attend the meeting without a valid reason then a decision will be taken in their absence.  Students who do not wish to attend the meeting may submit written representations </w:t>
      </w:r>
      <w:r w:rsidR="00FA1815">
        <w:rPr>
          <w:rFonts w:ascii="Rockwell" w:hAnsi="Rockwell" w:cs="Rockwell"/>
          <w:sz w:val="22"/>
          <w:szCs w:val="22"/>
          <w:lang w:eastAsia="en-GB"/>
        </w:rPr>
        <w:t>which should be received no later than</w:t>
      </w:r>
      <w:r>
        <w:rPr>
          <w:rFonts w:ascii="Rockwell" w:hAnsi="Rockwell" w:cs="Rockwell"/>
          <w:sz w:val="22"/>
          <w:szCs w:val="22"/>
          <w:lang w:eastAsia="en-GB"/>
        </w:rPr>
        <w:t xml:space="preserve"> 2 working days prior to the hearing.</w:t>
      </w:r>
    </w:p>
    <w:p w14:paraId="0B2E80CB" w14:textId="77777777" w:rsidR="005D66F5" w:rsidRDefault="005D66F5" w:rsidP="009E2FD6">
      <w:pPr>
        <w:jc w:val="both"/>
        <w:rPr>
          <w:rFonts w:ascii="Rockwell" w:hAnsi="Rockwell" w:cs="Arial"/>
          <w:sz w:val="22"/>
          <w:szCs w:val="22"/>
        </w:rPr>
      </w:pPr>
    </w:p>
    <w:p w14:paraId="120F9077" w14:textId="77777777" w:rsidR="000754ED" w:rsidRPr="000754ED" w:rsidRDefault="000754ED" w:rsidP="00F822A9">
      <w:pPr>
        <w:pStyle w:val="Default"/>
        <w:jc w:val="both"/>
        <w:rPr>
          <w:sz w:val="22"/>
          <w:szCs w:val="22"/>
        </w:rPr>
      </w:pPr>
      <w:r w:rsidRPr="000754ED">
        <w:rPr>
          <w:sz w:val="22"/>
          <w:szCs w:val="22"/>
        </w:rPr>
        <w:t xml:space="preserve">The Chair of the panel shall have discretion to manage the conduct of the hearing including to adjourn, continue or postpone a hearing and to limit the length of the hearing, the questioning of witnesses, and the number of witnesses called. </w:t>
      </w:r>
    </w:p>
    <w:p w14:paraId="7A25D8DA" w14:textId="77777777" w:rsidR="000754ED" w:rsidRPr="000754ED" w:rsidRDefault="000754ED" w:rsidP="00F822A9">
      <w:pPr>
        <w:pStyle w:val="Default"/>
        <w:jc w:val="both"/>
        <w:rPr>
          <w:sz w:val="22"/>
          <w:szCs w:val="22"/>
        </w:rPr>
      </w:pPr>
    </w:p>
    <w:p w14:paraId="18FD292B" w14:textId="77777777" w:rsidR="000754ED" w:rsidRPr="000754ED" w:rsidRDefault="000754ED" w:rsidP="00F822A9">
      <w:pPr>
        <w:pStyle w:val="Default"/>
        <w:jc w:val="both"/>
        <w:rPr>
          <w:sz w:val="22"/>
          <w:szCs w:val="22"/>
        </w:rPr>
      </w:pPr>
      <w:r w:rsidRPr="000754ED">
        <w:rPr>
          <w:sz w:val="22"/>
          <w:szCs w:val="22"/>
        </w:rPr>
        <w:t xml:space="preserve">The student and </w:t>
      </w:r>
      <w:r w:rsidR="00160CF6">
        <w:rPr>
          <w:sz w:val="22"/>
          <w:szCs w:val="22"/>
        </w:rPr>
        <w:t xml:space="preserve">the representative from the </w:t>
      </w:r>
      <w:r w:rsidR="002E0680">
        <w:rPr>
          <w:sz w:val="22"/>
          <w:szCs w:val="22"/>
        </w:rPr>
        <w:t>s</w:t>
      </w:r>
      <w:r w:rsidR="00160CF6">
        <w:rPr>
          <w:sz w:val="22"/>
          <w:szCs w:val="22"/>
        </w:rPr>
        <w:t xml:space="preserve">tage </w:t>
      </w:r>
      <w:r w:rsidR="002E0680">
        <w:rPr>
          <w:sz w:val="22"/>
          <w:szCs w:val="22"/>
        </w:rPr>
        <w:t>o</w:t>
      </w:r>
      <w:r w:rsidR="00160CF6">
        <w:rPr>
          <w:sz w:val="22"/>
          <w:szCs w:val="22"/>
        </w:rPr>
        <w:t xml:space="preserve">ne Academic Misconduct Panel </w:t>
      </w:r>
      <w:r w:rsidRPr="000754ED">
        <w:rPr>
          <w:sz w:val="22"/>
          <w:szCs w:val="22"/>
        </w:rPr>
        <w:t xml:space="preserve">may present evidence and call witnesses, who may be questioned by the other party and by the Panel. The student will always be afforded the opportunity to make a final closing statement. </w:t>
      </w:r>
    </w:p>
    <w:p w14:paraId="432127C5" w14:textId="77777777" w:rsidR="000754ED" w:rsidRPr="000754ED" w:rsidRDefault="000754ED" w:rsidP="00F822A9">
      <w:pPr>
        <w:pStyle w:val="Default"/>
        <w:jc w:val="both"/>
        <w:rPr>
          <w:sz w:val="22"/>
          <w:szCs w:val="22"/>
        </w:rPr>
      </w:pPr>
    </w:p>
    <w:p w14:paraId="69FF7F8A" w14:textId="18A492FE" w:rsidR="00160CF6" w:rsidRDefault="000754ED" w:rsidP="000754ED">
      <w:pPr>
        <w:jc w:val="both"/>
        <w:rPr>
          <w:rFonts w:ascii="Rockwell" w:hAnsi="Rockwell"/>
          <w:sz w:val="22"/>
          <w:szCs w:val="22"/>
        </w:rPr>
      </w:pPr>
      <w:r w:rsidRPr="00F822A9">
        <w:rPr>
          <w:rFonts w:ascii="Rockwell" w:hAnsi="Rockwell"/>
          <w:sz w:val="22"/>
          <w:szCs w:val="22"/>
        </w:rPr>
        <w:t xml:space="preserve">The </w:t>
      </w:r>
      <w:r w:rsidR="002E0680">
        <w:rPr>
          <w:rFonts w:ascii="Rockwell" w:hAnsi="Rockwell"/>
          <w:sz w:val="22"/>
          <w:szCs w:val="22"/>
        </w:rPr>
        <w:t>p</w:t>
      </w:r>
      <w:r w:rsidRPr="00F822A9">
        <w:rPr>
          <w:rFonts w:ascii="Rockwell" w:hAnsi="Rockwell"/>
          <w:sz w:val="22"/>
          <w:szCs w:val="22"/>
        </w:rPr>
        <w:t xml:space="preserve">anel will consider its decision in private. </w:t>
      </w:r>
      <w:r w:rsidR="005D66F5" w:rsidRPr="000754ED">
        <w:rPr>
          <w:rFonts w:ascii="Rockwell" w:hAnsi="Rockwell"/>
          <w:sz w:val="22"/>
          <w:szCs w:val="22"/>
        </w:rPr>
        <w:t xml:space="preserve">The </w:t>
      </w:r>
      <w:r w:rsidR="002E0680">
        <w:rPr>
          <w:rFonts w:ascii="Rockwell" w:hAnsi="Rockwell"/>
          <w:sz w:val="22"/>
          <w:szCs w:val="22"/>
        </w:rPr>
        <w:t>p</w:t>
      </w:r>
      <w:r w:rsidR="005D66F5" w:rsidRPr="000754ED">
        <w:rPr>
          <w:rFonts w:ascii="Rockwell" w:hAnsi="Rockwell"/>
          <w:sz w:val="22"/>
          <w:szCs w:val="22"/>
        </w:rPr>
        <w:t>anel, at the end of its deliberation will either</w:t>
      </w:r>
      <w:r w:rsidR="00BB4EF8" w:rsidRPr="000754ED">
        <w:rPr>
          <w:rFonts w:ascii="Rockwell" w:hAnsi="Rockwell"/>
          <w:sz w:val="22"/>
          <w:szCs w:val="22"/>
        </w:rPr>
        <w:t xml:space="preserve"> </w:t>
      </w:r>
      <w:r w:rsidR="005D66F5" w:rsidRPr="000754ED">
        <w:rPr>
          <w:rFonts w:ascii="Rockwell" w:hAnsi="Rockwell"/>
          <w:sz w:val="22"/>
          <w:szCs w:val="22"/>
        </w:rPr>
        <w:t xml:space="preserve">uphold the </w:t>
      </w:r>
      <w:r w:rsidR="00BB4EF8" w:rsidRPr="000754ED">
        <w:rPr>
          <w:rFonts w:ascii="Rockwell" w:hAnsi="Rockwell"/>
          <w:sz w:val="22"/>
          <w:szCs w:val="22"/>
        </w:rPr>
        <w:t xml:space="preserve">appeal </w:t>
      </w:r>
      <w:r w:rsidR="005D66F5" w:rsidRPr="000754ED">
        <w:rPr>
          <w:rFonts w:ascii="Rockwell" w:hAnsi="Rockwell"/>
          <w:sz w:val="22"/>
          <w:szCs w:val="22"/>
        </w:rPr>
        <w:t xml:space="preserve">in whole or part or dismiss the appeal.  Where the appeal is upheld the </w:t>
      </w:r>
      <w:r w:rsidR="002E0680">
        <w:rPr>
          <w:rFonts w:ascii="Rockwell" w:hAnsi="Rockwell"/>
          <w:sz w:val="22"/>
          <w:szCs w:val="22"/>
        </w:rPr>
        <w:t>p</w:t>
      </w:r>
      <w:r w:rsidR="005D66F5" w:rsidRPr="000754ED">
        <w:rPr>
          <w:rFonts w:ascii="Rockwell" w:hAnsi="Rockwell"/>
          <w:sz w:val="22"/>
          <w:szCs w:val="22"/>
        </w:rPr>
        <w:t>anel can</w:t>
      </w:r>
      <w:r w:rsidR="00BB4EF8" w:rsidRPr="000754ED">
        <w:rPr>
          <w:rFonts w:ascii="Rockwell" w:hAnsi="Rockwell"/>
          <w:sz w:val="22"/>
          <w:szCs w:val="22"/>
        </w:rPr>
        <w:t xml:space="preserve"> decide to impose an alternative penalty or to rule that no penalty should be imposed.  </w:t>
      </w:r>
    </w:p>
    <w:p w14:paraId="09CCBC35" w14:textId="77777777" w:rsidR="00160CF6" w:rsidRDefault="00160CF6" w:rsidP="000754ED">
      <w:pPr>
        <w:jc w:val="both"/>
        <w:rPr>
          <w:rFonts w:ascii="Rockwell" w:hAnsi="Rockwell"/>
          <w:sz w:val="22"/>
          <w:szCs w:val="22"/>
        </w:rPr>
      </w:pPr>
    </w:p>
    <w:p w14:paraId="0E5D0663" w14:textId="77777777" w:rsidR="00160CF6" w:rsidRDefault="00BB4EF8" w:rsidP="000754ED">
      <w:pPr>
        <w:jc w:val="both"/>
        <w:rPr>
          <w:rFonts w:ascii="Rockwell" w:hAnsi="Rockwell"/>
          <w:sz w:val="22"/>
          <w:szCs w:val="22"/>
        </w:rPr>
      </w:pPr>
      <w:r w:rsidRPr="000754ED">
        <w:rPr>
          <w:rFonts w:ascii="Rockwell" w:hAnsi="Rockwell"/>
          <w:sz w:val="22"/>
          <w:szCs w:val="22"/>
          <w:u w:val="single"/>
        </w:rPr>
        <w:t>The decision taken by this panel will be final.</w:t>
      </w:r>
      <w:r w:rsidRPr="000754ED">
        <w:rPr>
          <w:rFonts w:ascii="Rockwell" w:hAnsi="Rockwell"/>
          <w:sz w:val="22"/>
          <w:szCs w:val="22"/>
        </w:rPr>
        <w:t xml:space="preserve">  </w:t>
      </w:r>
    </w:p>
    <w:p w14:paraId="21CAC23C" w14:textId="1F8C422A" w:rsidR="00BB4EF8" w:rsidRPr="000754ED" w:rsidRDefault="00BB4EF8" w:rsidP="000754ED">
      <w:pPr>
        <w:jc w:val="both"/>
        <w:rPr>
          <w:rFonts w:ascii="Rockwell" w:hAnsi="Rockwell"/>
          <w:sz w:val="22"/>
          <w:szCs w:val="22"/>
        </w:rPr>
      </w:pPr>
    </w:p>
    <w:p w14:paraId="7A8A2919" w14:textId="7D8F71EA" w:rsidR="00160CF6" w:rsidRDefault="00160CF6" w:rsidP="00160CF6">
      <w:pPr>
        <w:jc w:val="both"/>
        <w:rPr>
          <w:rFonts w:ascii="Rockwell" w:hAnsi="Rockwell" w:cs="Arial"/>
          <w:sz w:val="22"/>
          <w:szCs w:val="22"/>
        </w:rPr>
      </w:pPr>
      <w:r w:rsidRPr="00652830">
        <w:rPr>
          <w:rFonts w:ascii="Rockwell" w:hAnsi="Rockwell"/>
          <w:sz w:val="22"/>
          <w:szCs w:val="22"/>
        </w:rPr>
        <w:t>The student will be informed of the outcome and reasons in writing within 5 working days of the hearing</w:t>
      </w:r>
      <w:r>
        <w:rPr>
          <w:rFonts w:ascii="Rockwell" w:hAnsi="Rockwell"/>
          <w:sz w:val="22"/>
          <w:szCs w:val="22"/>
        </w:rPr>
        <w:t>.</w:t>
      </w:r>
      <w:r w:rsidRPr="00160CF6">
        <w:rPr>
          <w:rFonts w:ascii="Rockwell" w:hAnsi="Rockwell" w:cs="Arial"/>
          <w:sz w:val="22"/>
          <w:szCs w:val="22"/>
        </w:rPr>
        <w:t xml:space="preserve"> </w:t>
      </w:r>
      <w:r>
        <w:rPr>
          <w:rFonts w:ascii="Rockwell" w:hAnsi="Rockwell" w:cs="Arial"/>
          <w:sz w:val="22"/>
          <w:szCs w:val="22"/>
        </w:rPr>
        <w:t>A</w:t>
      </w:r>
      <w:r>
        <w:rPr>
          <w:rFonts w:ascii="Rockwell" w:hAnsi="Rockwell" w:cs="Rockwell"/>
          <w:sz w:val="22"/>
          <w:szCs w:val="22"/>
          <w:lang w:eastAsia="en-GB"/>
        </w:rPr>
        <w:t xml:space="preserve"> Completion of Procedures letter will also be </w:t>
      </w:r>
      <w:r w:rsidR="00547585">
        <w:rPr>
          <w:rFonts w:ascii="Rockwell" w:hAnsi="Rockwell" w:cs="Rockwell"/>
          <w:sz w:val="22"/>
          <w:szCs w:val="22"/>
          <w:lang w:eastAsia="en-GB"/>
        </w:rPr>
        <w:t>i</w:t>
      </w:r>
      <w:r>
        <w:rPr>
          <w:rFonts w:ascii="Rockwell" w:hAnsi="Rockwell" w:cs="Rockwell"/>
          <w:sz w:val="22"/>
          <w:szCs w:val="22"/>
          <w:lang w:eastAsia="en-GB"/>
        </w:rPr>
        <w:t>ssued to the student, in accordance with the format prescribed by the Office of the Independent Adjudicator</w:t>
      </w:r>
      <w:r>
        <w:rPr>
          <w:rStyle w:val="FootnoteReference"/>
          <w:rFonts w:ascii="Rockwell" w:hAnsi="Rockwell" w:cs="Rockwell"/>
          <w:sz w:val="22"/>
          <w:szCs w:val="22"/>
          <w:lang w:eastAsia="en-GB"/>
        </w:rPr>
        <w:footnoteReference w:id="2"/>
      </w:r>
      <w:r>
        <w:rPr>
          <w:rFonts w:ascii="Rockwell" w:hAnsi="Rockwell" w:cs="Rockwell"/>
          <w:sz w:val="22"/>
          <w:szCs w:val="22"/>
          <w:lang w:eastAsia="en-GB"/>
        </w:rPr>
        <w:t xml:space="preserve">. </w:t>
      </w:r>
    </w:p>
    <w:p w14:paraId="215791DB" w14:textId="77777777" w:rsidR="00160CF6" w:rsidRDefault="00160CF6" w:rsidP="009E2FD6">
      <w:pPr>
        <w:jc w:val="both"/>
        <w:rPr>
          <w:rFonts w:ascii="Rockwell" w:hAnsi="Rockwell"/>
          <w:sz w:val="22"/>
          <w:szCs w:val="22"/>
        </w:rPr>
      </w:pPr>
    </w:p>
    <w:p w14:paraId="3FBE8DF5" w14:textId="7221BC5C" w:rsidR="00BB4EF8" w:rsidRDefault="00160CF6" w:rsidP="009E2FD6">
      <w:pPr>
        <w:jc w:val="both"/>
        <w:rPr>
          <w:rFonts w:ascii="Rockwell" w:hAnsi="Rockwell"/>
          <w:sz w:val="22"/>
          <w:szCs w:val="22"/>
        </w:rPr>
      </w:pPr>
      <w:r w:rsidRPr="000754ED">
        <w:rPr>
          <w:rFonts w:ascii="Rockwell" w:hAnsi="Rockwell"/>
          <w:sz w:val="22"/>
          <w:szCs w:val="22"/>
        </w:rPr>
        <w:t xml:space="preserve">The Panel decision will be communicated to the Chair of the Assessment Board.  </w:t>
      </w:r>
    </w:p>
    <w:p w14:paraId="0C58D10A" w14:textId="77777777" w:rsidR="00C82A72" w:rsidRDefault="00C82A72" w:rsidP="009E2FD6">
      <w:pPr>
        <w:jc w:val="both"/>
        <w:rPr>
          <w:rFonts w:ascii="Rockwell" w:hAnsi="Rockwell"/>
          <w:sz w:val="22"/>
          <w:szCs w:val="22"/>
        </w:rPr>
      </w:pPr>
    </w:p>
    <w:p w14:paraId="465828BA" w14:textId="77777777" w:rsidR="00C82A72" w:rsidRDefault="002E0680" w:rsidP="009E2FD6">
      <w:pPr>
        <w:jc w:val="both"/>
        <w:rPr>
          <w:rFonts w:ascii="Rockwell" w:hAnsi="Rockwell"/>
          <w:sz w:val="22"/>
          <w:szCs w:val="22"/>
        </w:rPr>
      </w:pPr>
      <w:r>
        <w:rPr>
          <w:rFonts w:ascii="Rockwell" w:hAnsi="Rockwell"/>
          <w:sz w:val="22"/>
          <w:szCs w:val="22"/>
        </w:rPr>
        <w:t>It is anticipated that the full appeal</w:t>
      </w:r>
      <w:r w:rsidR="00C82A72">
        <w:rPr>
          <w:rFonts w:ascii="Rockwell" w:hAnsi="Rockwell"/>
          <w:sz w:val="22"/>
          <w:szCs w:val="22"/>
        </w:rPr>
        <w:t xml:space="preserve"> process will take no longer than </w:t>
      </w:r>
      <w:r>
        <w:rPr>
          <w:rFonts w:ascii="Rockwell" w:hAnsi="Rockwell"/>
          <w:sz w:val="22"/>
          <w:szCs w:val="22"/>
        </w:rPr>
        <w:t>90 calendar days to conclude.</w:t>
      </w:r>
    </w:p>
    <w:p w14:paraId="3F1F34F9" w14:textId="77777777" w:rsidR="00C738C3" w:rsidRDefault="00C738C3" w:rsidP="009E2FD6">
      <w:pPr>
        <w:jc w:val="both"/>
        <w:rPr>
          <w:rFonts w:ascii="Rockwell" w:hAnsi="Rockwell"/>
          <w:sz w:val="22"/>
          <w:szCs w:val="22"/>
        </w:rPr>
      </w:pPr>
    </w:p>
    <w:p w14:paraId="4740FCC8" w14:textId="77777777" w:rsidR="005D582D" w:rsidRDefault="005D582D" w:rsidP="009E2FD6">
      <w:pPr>
        <w:jc w:val="both"/>
        <w:rPr>
          <w:rFonts w:ascii="Rockwell" w:hAnsi="Rockwell"/>
          <w:sz w:val="22"/>
          <w:szCs w:val="22"/>
        </w:rPr>
      </w:pPr>
    </w:p>
    <w:p w14:paraId="232E6F5B" w14:textId="77777777" w:rsidR="005D582D" w:rsidRDefault="005D582D" w:rsidP="009E2FD6">
      <w:pPr>
        <w:jc w:val="both"/>
        <w:rPr>
          <w:rFonts w:ascii="Rockwell" w:hAnsi="Rockwell"/>
          <w:sz w:val="22"/>
          <w:szCs w:val="22"/>
        </w:rPr>
      </w:pPr>
    </w:p>
    <w:p w14:paraId="4772C2B6" w14:textId="77777777" w:rsidR="005D582D" w:rsidRDefault="005D582D" w:rsidP="009E2FD6">
      <w:pPr>
        <w:jc w:val="both"/>
        <w:rPr>
          <w:rFonts w:ascii="Rockwell" w:hAnsi="Rockwell"/>
          <w:sz w:val="22"/>
          <w:szCs w:val="22"/>
        </w:rPr>
      </w:pPr>
    </w:p>
    <w:tbl>
      <w:tblPr>
        <w:tblW w:w="0" w:type="auto"/>
        <w:tblLook w:val="01E0" w:firstRow="1" w:lastRow="1" w:firstColumn="1" w:lastColumn="1" w:noHBand="0" w:noVBand="0"/>
      </w:tblPr>
      <w:tblGrid>
        <w:gridCol w:w="8286"/>
      </w:tblGrid>
      <w:tr w:rsidR="00C82A72" w:rsidRPr="00554FE9" w14:paraId="2EF288FE" w14:textId="77777777" w:rsidTr="00940D45">
        <w:tc>
          <w:tcPr>
            <w:tcW w:w="8286" w:type="dxa"/>
            <w:shd w:val="clear" w:color="auto" w:fill="000000"/>
          </w:tcPr>
          <w:p w14:paraId="2B400049" w14:textId="77777777" w:rsidR="00C82A72" w:rsidRPr="009E2FD6" w:rsidRDefault="00C82A72" w:rsidP="009E2FD6">
            <w:pPr>
              <w:autoSpaceDE w:val="0"/>
              <w:autoSpaceDN w:val="0"/>
              <w:adjustRightInd w:val="0"/>
              <w:jc w:val="both"/>
              <w:rPr>
                <w:rFonts w:ascii="Rockwell" w:hAnsi="Rockwell" w:cs="Rockwell"/>
                <w:b/>
                <w:color w:val="FFFFFF"/>
                <w:lang w:eastAsia="en-GB"/>
              </w:rPr>
            </w:pPr>
            <w:r>
              <w:rPr>
                <w:rFonts w:ascii="Rockwell" w:hAnsi="Rockwell"/>
                <w:sz w:val="22"/>
                <w:szCs w:val="22"/>
              </w:rPr>
              <w:br w:type="page"/>
            </w:r>
            <w:r>
              <w:rPr>
                <w:rFonts w:ascii="Rockwell" w:hAnsi="Rockwell"/>
                <w:sz w:val="22"/>
                <w:szCs w:val="22"/>
              </w:rPr>
              <w:br w:type="page"/>
            </w:r>
            <w:r w:rsidRPr="009E2FD6">
              <w:rPr>
                <w:rFonts w:ascii="Rockwell" w:hAnsi="Rockwell" w:cs="Rockwell"/>
                <w:b/>
                <w:color w:val="FFFFFF"/>
                <w:lang w:eastAsia="en-GB"/>
              </w:rPr>
              <w:t>OFFICE OF THE INDEPENDENT</w:t>
            </w:r>
          </w:p>
          <w:p w14:paraId="5157C377" w14:textId="77777777" w:rsidR="00C82A72" w:rsidRPr="00BB4EF8" w:rsidRDefault="00C82A72" w:rsidP="009E2FD6">
            <w:pPr>
              <w:tabs>
                <w:tab w:val="left" w:pos="2775"/>
                <w:tab w:val="left" w:pos="3300"/>
              </w:tabs>
              <w:jc w:val="both"/>
              <w:rPr>
                <w:rFonts w:ascii="Rockwell" w:hAnsi="Rockwell"/>
                <w:sz w:val="22"/>
                <w:szCs w:val="22"/>
              </w:rPr>
            </w:pPr>
            <w:r w:rsidRPr="009E2FD6">
              <w:rPr>
                <w:rFonts w:ascii="Rockwell" w:hAnsi="Rockwell" w:cs="Rockwell"/>
                <w:b/>
                <w:color w:val="FFFFFF"/>
                <w:lang w:eastAsia="en-GB"/>
              </w:rPr>
              <w:t>ADJUDICATOR:</w:t>
            </w:r>
            <w:r w:rsidRPr="00554FE9">
              <w:rPr>
                <w:rFonts w:ascii="Rockwell" w:hAnsi="Rockwell"/>
                <w:b/>
                <w:bCs/>
              </w:rPr>
              <w:tab/>
            </w:r>
          </w:p>
        </w:tc>
      </w:tr>
    </w:tbl>
    <w:p w14:paraId="297E4D2B" w14:textId="77777777" w:rsidR="00C82A72" w:rsidRDefault="00C82A72" w:rsidP="009E2FD6">
      <w:pPr>
        <w:autoSpaceDE w:val="0"/>
        <w:autoSpaceDN w:val="0"/>
        <w:adjustRightInd w:val="0"/>
        <w:jc w:val="both"/>
        <w:rPr>
          <w:rFonts w:ascii="Rockwell" w:hAnsi="Rockwell" w:cs="Rockwell"/>
          <w:color w:val="FFFFFF"/>
          <w:lang w:eastAsia="en-GB"/>
        </w:rPr>
      </w:pPr>
      <w:r>
        <w:rPr>
          <w:rFonts w:ascii="Rockwell" w:hAnsi="Rockwell" w:cs="Rockwell"/>
          <w:color w:val="FFFFFF"/>
          <w:lang w:eastAsia="en-GB"/>
        </w:rPr>
        <w:t>ADJUDICATOR:</w:t>
      </w:r>
    </w:p>
    <w:p w14:paraId="6D633CBD" w14:textId="77777777" w:rsidR="00C82A72" w:rsidRDefault="00C82A72"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If having exhausted all Stages of the University’s internal procedure, the student considers that the University has failed to consider and respond to their appeal appropriately, they can refer the case to the Office of the Independent Adjudicator (OIA). This office provides an independent scheme for the review of student complaints and appeals.</w:t>
      </w:r>
    </w:p>
    <w:p w14:paraId="131E21DD" w14:textId="77777777" w:rsidR="00C82A72" w:rsidRDefault="00C82A72" w:rsidP="009E2FD6">
      <w:pPr>
        <w:autoSpaceDE w:val="0"/>
        <w:autoSpaceDN w:val="0"/>
        <w:adjustRightInd w:val="0"/>
        <w:jc w:val="both"/>
        <w:rPr>
          <w:rFonts w:ascii="Rockwell" w:hAnsi="Rockwell" w:cs="Rockwell"/>
          <w:color w:val="000000"/>
          <w:sz w:val="22"/>
          <w:szCs w:val="22"/>
          <w:lang w:eastAsia="en-GB"/>
        </w:rPr>
      </w:pPr>
    </w:p>
    <w:p w14:paraId="0605D0DD" w14:textId="77777777" w:rsidR="00C82A72" w:rsidRDefault="00C82A72"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In order to refer their case to the Office of the Independent Adjudicator they will</w:t>
      </w:r>
    </w:p>
    <w:p w14:paraId="282A5CE4" w14:textId="77777777" w:rsidR="00C82A72" w:rsidRDefault="00C82A72"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require a Completion of Procedures Letter. A Completion of Procedures letter</w:t>
      </w:r>
      <w:r w:rsidR="00160CF6">
        <w:rPr>
          <w:rFonts w:ascii="Rockwell" w:hAnsi="Rockwell" w:cs="Rockwell"/>
          <w:color w:val="000000"/>
          <w:sz w:val="22"/>
          <w:szCs w:val="22"/>
          <w:lang w:eastAsia="en-GB"/>
        </w:rPr>
        <w:t xml:space="preserve"> </w:t>
      </w:r>
      <w:r>
        <w:rPr>
          <w:rFonts w:ascii="Rockwell" w:hAnsi="Rockwell" w:cs="Rockwell"/>
          <w:color w:val="000000"/>
          <w:sz w:val="22"/>
          <w:szCs w:val="22"/>
          <w:lang w:eastAsia="en-GB"/>
        </w:rPr>
        <w:t>will be issued when all applicable stages of the procedure have been exhausted. The letter will be issued in accordance with the format prescribed by the Office of the Independent Adjudicator.</w:t>
      </w:r>
    </w:p>
    <w:p w14:paraId="7C3A6FEA" w14:textId="77777777" w:rsidR="00C82A72" w:rsidRDefault="00C82A72" w:rsidP="009E2FD6">
      <w:pPr>
        <w:autoSpaceDE w:val="0"/>
        <w:autoSpaceDN w:val="0"/>
        <w:adjustRightInd w:val="0"/>
        <w:jc w:val="both"/>
        <w:rPr>
          <w:rFonts w:ascii="Rockwell" w:hAnsi="Rockwell" w:cs="Rockwell"/>
          <w:color w:val="000000"/>
          <w:sz w:val="22"/>
          <w:szCs w:val="22"/>
          <w:lang w:eastAsia="en-GB"/>
        </w:rPr>
      </w:pPr>
    </w:p>
    <w:p w14:paraId="68E46316" w14:textId="77777777" w:rsidR="00160CF6" w:rsidRDefault="00C82A72" w:rsidP="009E2FD6">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Details of the rules of the scheme and information about how to make an application for review by the OIA are available at their website</w:t>
      </w:r>
      <w:r w:rsidR="00160CF6">
        <w:rPr>
          <w:rFonts w:ascii="Rockwell" w:hAnsi="Rockwell" w:cs="Rockwell"/>
          <w:color w:val="000000"/>
          <w:sz w:val="22"/>
          <w:szCs w:val="22"/>
          <w:lang w:eastAsia="en-GB"/>
        </w:rPr>
        <w:t>:</w:t>
      </w:r>
    </w:p>
    <w:p w14:paraId="6D3A9F22" w14:textId="2C0D7ECD" w:rsidR="008C2C9B" w:rsidRDefault="00F21FCB" w:rsidP="009E2FD6">
      <w:pPr>
        <w:autoSpaceDE w:val="0"/>
        <w:autoSpaceDN w:val="0"/>
        <w:adjustRightInd w:val="0"/>
        <w:jc w:val="both"/>
        <w:rPr>
          <w:rFonts w:ascii="Rockwell" w:hAnsi="Rockwell" w:cs="Rockwell"/>
          <w:color w:val="0000FF"/>
          <w:sz w:val="22"/>
          <w:szCs w:val="22"/>
          <w:lang w:eastAsia="en-GB"/>
        </w:rPr>
      </w:pPr>
      <w:hyperlink r:id="rId22" w:history="1">
        <w:r w:rsidR="008C2C9B" w:rsidRPr="000F2EBD">
          <w:rPr>
            <w:rStyle w:val="Hyperlink"/>
            <w:rFonts w:ascii="Rockwell" w:hAnsi="Rockwell" w:cs="Rockwell"/>
            <w:sz w:val="22"/>
            <w:szCs w:val="22"/>
            <w:lang w:eastAsia="en-GB"/>
          </w:rPr>
          <w:t>www.oiahe.org.uk</w:t>
        </w:r>
      </w:hyperlink>
    </w:p>
    <w:p w14:paraId="45C95E88" w14:textId="0BEFF3BE" w:rsidR="00D30F4E" w:rsidRDefault="00D30F4E" w:rsidP="008C2C9B">
      <w:pPr>
        <w:autoSpaceDE w:val="0"/>
        <w:autoSpaceDN w:val="0"/>
        <w:adjustRightInd w:val="0"/>
        <w:jc w:val="both"/>
        <w:rPr>
          <w:rFonts w:ascii="Rockwell" w:hAnsi="Rockwell"/>
          <w:sz w:val="22"/>
          <w:szCs w:val="22"/>
        </w:rPr>
      </w:pPr>
    </w:p>
    <w:p w14:paraId="436EC24F" w14:textId="5E16C6FB" w:rsidR="00354CB1" w:rsidRDefault="00EB5F55">
      <w:r>
        <w:rPr>
          <w:rFonts w:ascii="Rockwell" w:hAnsi="Rockwell" w:cs="Rockwell"/>
          <w:color w:val="000000"/>
          <w:sz w:val="22"/>
          <w:szCs w:val="22"/>
          <w:lang w:eastAsia="en-GB"/>
        </w:rPr>
        <w:t>Students are advised to contact the Students’ Union for advice and support prior to submitting a complaint to the OIA.</w:t>
      </w:r>
      <w:r w:rsidRPr="00A10547">
        <w:rPr>
          <w:rFonts w:ascii="Rockwell" w:hAnsi="Rockwell" w:cs="Rockwell"/>
          <w:color w:val="000000"/>
          <w:sz w:val="22"/>
          <w:szCs w:val="22"/>
          <w:lang w:eastAsia="en-GB"/>
        </w:rPr>
        <w:t xml:space="preserve"> </w:t>
      </w:r>
      <w:r>
        <w:rPr>
          <w:rFonts w:ascii="Rockwell" w:hAnsi="Rockwell" w:cs="Rockwell"/>
          <w:color w:val="000000"/>
          <w:sz w:val="22"/>
          <w:szCs w:val="22"/>
          <w:lang w:eastAsia="en-GB"/>
        </w:rPr>
        <w:t xml:space="preserve">The Students’ Union Advice &amp; Support Centre can be contacted </w:t>
      </w:r>
      <w:r w:rsidRPr="009E2FD6">
        <w:rPr>
          <w:rFonts w:ascii="Rockwell" w:hAnsi="Rockwell"/>
          <w:bCs/>
          <w:sz w:val="22"/>
          <w:szCs w:val="22"/>
        </w:rPr>
        <w:t xml:space="preserve">via </w:t>
      </w:r>
      <w:r>
        <w:rPr>
          <w:rFonts w:ascii="Rockwell" w:hAnsi="Rockwell"/>
          <w:bCs/>
          <w:sz w:val="22"/>
          <w:szCs w:val="22"/>
        </w:rPr>
        <w:t xml:space="preserve">email to </w:t>
      </w:r>
      <w:hyperlink r:id="rId23" w:history="1">
        <w:r w:rsidR="00A3056E" w:rsidRPr="000F2EBD">
          <w:rPr>
            <w:rStyle w:val="Hyperlink"/>
            <w:rFonts w:ascii="Rockwell" w:hAnsi="Rockwell"/>
            <w:sz w:val="22"/>
            <w:szCs w:val="22"/>
          </w:rPr>
          <w:t>advice.wolvesunion@wlv.ac.uk</w:t>
        </w:r>
      </w:hyperlink>
      <w:r w:rsidRPr="009E2FD6">
        <w:rPr>
          <w:rFonts w:ascii="Rockwell" w:hAnsi="Rockwell"/>
          <w:color w:val="1F497D"/>
          <w:sz w:val="22"/>
          <w:szCs w:val="22"/>
        </w:rPr>
        <w:t xml:space="preserve"> </w:t>
      </w:r>
      <w:r>
        <w:rPr>
          <w:rFonts w:ascii="Rockwell" w:hAnsi="Rockwell"/>
          <w:sz w:val="22"/>
          <w:szCs w:val="22"/>
        </w:rPr>
        <w:t xml:space="preserve">or by calling 01902 322038. </w:t>
      </w:r>
      <w:r w:rsidR="00354CB1">
        <w:br w:type="page"/>
      </w:r>
    </w:p>
    <w:p w14:paraId="0693BB81" w14:textId="77777777" w:rsidR="00354CB1" w:rsidRDefault="00354CB1" w:rsidP="009E2FD6">
      <w:pPr>
        <w:tabs>
          <w:tab w:val="left" w:pos="2775"/>
          <w:tab w:val="left" w:pos="3300"/>
        </w:tabs>
        <w:jc w:val="both"/>
        <w:rPr>
          <w:rFonts w:ascii="Rockwell" w:hAnsi="Rockwell"/>
          <w:sz w:val="22"/>
          <w:szCs w:val="22"/>
        </w:rPr>
        <w:sectPr w:rsidR="00354CB1" w:rsidSect="00953B34">
          <w:footerReference w:type="default" r:id="rId24"/>
          <w:footnotePr>
            <w:numRestart w:val="eachPage"/>
          </w:footnotePr>
          <w:pgSz w:w="11906" w:h="16838"/>
          <w:pgMar w:top="1134" w:right="1797" w:bottom="737" w:left="1797" w:header="426" w:footer="709" w:gutter="0"/>
          <w:cols w:space="708"/>
          <w:docGrid w:linePitch="360"/>
        </w:sectPr>
      </w:pPr>
    </w:p>
    <w:tbl>
      <w:tblPr>
        <w:tblW w:w="0" w:type="auto"/>
        <w:tblLook w:val="01E0" w:firstRow="1" w:lastRow="1" w:firstColumn="1" w:lastColumn="1" w:noHBand="0" w:noVBand="0"/>
      </w:tblPr>
      <w:tblGrid>
        <w:gridCol w:w="8286"/>
      </w:tblGrid>
      <w:tr w:rsidR="00B57241" w:rsidRPr="00554FE9" w14:paraId="5D636F47" w14:textId="77777777" w:rsidTr="00B57241">
        <w:tc>
          <w:tcPr>
            <w:tcW w:w="8286" w:type="dxa"/>
            <w:shd w:val="clear" w:color="auto" w:fill="000000"/>
          </w:tcPr>
          <w:p w14:paraId="471A7766" w14:textId="4B7832FC" w:rsidR="00B57241" w:rsidRPr="00BB4EF8" w:rsidRDefault="00B57241" w:rsidP="009E2FD6">
            <w:pPr>
              <w:tabs>
                <w:tab w:val="left" w:pos="2775"/>
                <w:tab w:val="left" w:pos="3300"/>
              </w:tabs>
              <w:jc w:val="both"/>
              <w:rPr>
                <w:rFonts w:ascii="Rockwell" w:hAnsi="Rockwell"/>
                <w:sz w:val="22"/>
                <w:szCs w:val="22"/>
              </w:rPr>
            </w:pPr>
            <w:r>
              <w:rPr>
                <w:rFonts w:ascii="Rockwell" w:hAnsi="Rockwell"/>
                <w:sz w:val="22"/>
                <w:szCs w:val="22"/>
              </w:rPr>
              <w:lastRenderedPageBreak/>
              <w:br w:type="page"/>
            </w:r>
            <w:r>
              <w:rPr>
                <w:rFonts w:ascii="Rockwell" w:hAnsi="Rockwell"/>
                <w:sz w:val="22"/>
                <w:szCs w:val="22"/>
              </w:rPr>
              <w:br w:type="page"/>
            </w:r>
            <w:r w:rsidRPr="0086404C">
              <w:rPr>
                <w:rFonts w:ascii="Rockwell" w:hAnsi="Rockwell"/>
                <w:b/>
              </w:rPr>
              <w:t>ACADEMIC MISCONDUCT</w:t>
            </w:r>
            <w:r w:rsidRPr="00B57241">
              <w:rPr>
                <w:rFonts w:ascii="Rockwell" w:hAnsi="Rockwell"/>
                <w:b/>
                <w:sz w:val="22"/>
                <w:szCs w:val="22"/>
              </w:rPr>
              <w:t xml:space="preserve"> </w:t>
            </w:r>
            <w:r w:rsidRPr="00B57241">
              <w:rPr>
                <w:rFonts w:ascii="Rockwell" w:hAnsi="Rockwell"/>
                <w:b/>
                <w:bCs/>
              </w:rPr>
              <w:t>PENALTIES</w:t>
            </w:r>
            <w:r w:rsidRPr="00554FE9">
              <w:rPr>
                <w:rFonts w:ascii="Rockwell" w:hAnsi="Rockwell"/>
                <w:b/>
                <w:bCs/>
              </w:rPr>
              <w:t>:</w:t>
            </w:r>
            <w:r w:rsidRPr="00554FE9">
              <w:rPr>
                <w:rFonts w:ascii="Rockwell" w:hAnsi="Rockwell"/>
                <w:b/>
                <w:bCs/>
              </w:rPr>
              <w:tab/>
            </w:r>
          </w:p>
        </w:tc>
      </w:tr>
    </w:tbl>
    <w:p w14:paraId="3CB90198" w14:textId="77777777" w:rsidR="0047430C" w:rsidRDefault="0047430C" w:rsidP="0047430C">
      <w:pPr>
        <w:pStyle w:val="Heading2"/>
        <w:rPr>
          <w:rFonts w:ascii="Rockwell" w:hAnsi="Rockwell"/>
          <w:sz w:val="22"/>
          <w:szCs w:val="22"/>
        </w:rPr>
      </w:pPr>
    </w:p>
    <w:p w14:paraId="207EF884" w14:textId="77777777" w:rsidR="0047430C" w:rsidRPr="00380281" w:rsidRDefault="0047430C" w:rsidP="0047430C">
      <w:pPr>
        <w:jc w:val="both"/>
        <w:rPr>
          <w:rFonts w:ascii="Rockwell" w:hAnsi="Rockwell"/>
        </w:rPr>
      </w:pPr>
      <w:r w:rsidRPr="00380281">
        <w:rPr>
          <w:rFonts w:ascii="Rockwell" w:hAnsi="Rockwell"/>
          <w:sz w:val="22"/>
          <w:szCs w:val="22"/>
        </w:rPr>
        <w:t>The penalty will be determined by the investigating panel.</w:t>
      </w:r>
    </w:p>
    <w:p w14:paraId="4210A0B1" w14:textId="77777777" w:rsidR="0047430C" w:rsidRDefault="0047430C" w:rsidP="0047430C">
      <w:pPr>
        <w:jc w:val="both"/>
        <w:rPr>
          <w:rFonts w:ascii="Rockwell" w:hAnsi="Rockwell"/>
        </w:rPr>
      </w:pPr>
      <w:r>
        <w:rPr>
          <w:rFonts w:ascii="Rockwell" w:hAnsi="Rockwell"/>
          <w:sz w:val="22"/>
          <w:szCs w:val="22"/>
        </w:rPr>
        <w:t>I</w:t>
      </w:r>
      <w:r w:rsidRPr="00380281">
        <w:rPr>
          <w:rFonts w:ascii="Rockwell" w:hAnsi="Rockwell"/>
          <w:sz w:val="22"/>
          <w:szCs w:val="22"/>
        </w:rPr>
        <w:t>n case</w:t>
      </w:r>
      <w:r>
        <w:rPr>
          <w:rFonts w:ascii="Rockwell" w:hAnsi="Rockwell"/>
          <w:sz w:val="22"/>
          <w:szCs w:val="22"/>
        </w:rPr>
        <w:t>s</w:t>
      </w:r>
      <w:r w:rsidRPr="00380281">
        <w:rPr>
          <w:rFonts w:ascii="Rockwell" w:hAnsi="Rockwell"/>
          <w:sz w:val="22"/>
          <w:szCs w:val="22"/>
        </w:rPr>
        <w:t xml:space="preserve"> of proven academic misconduct </w:t>
      </w:r>
      <w:r>
        <w:rPr>
          <w:rFonts w:ascii="Rockwell" w:hAnsi="Rockwell"/>
          <w:sz w:val="22"/>
          <w:szCs w:val="22"/>
        </w:rPr>
        <w:t>t</w:t>
      </w:r>
      <w:r w:rsidRPr="00380281">
        <w:rPr>
          <w:rFonts w:ascii="Rockwell" w:hAnsi="Rockwell"/>
          <w:sz w:val="22"/>
          <w:szCs w:val="22"/>
        </w:rPr>
        <w:t xml:space="preserve">he following penalties should normally be applied, to maintain consistency and parity of treatment for similar offences across the University. </w:t>
      </w:r>
      <w:r>
        <w:rPr>
          <w:rFonts w:ascii="Rockwell" w:hAnsi="Rockwell"/>
          <w:sz w:val="22"/>
          <w:szCs w:val="22"/>
        </w:rPr>
        <w:t xml:space="preserve"> </w:t>
      </w:r>
      <w:r w:rsidRPr="00380281">
        <w:rPr>
          <w:rFonts w:ascii="Rockwell" w:hAnsi="Rockwell"/>
          <w:sz w:val="22"/>
          <w:szCs w:val="22"/>
        </w:rPr>
        <w:t>This is a cumulative range of penalties which will be appl</w:t>
      </w:r>
      <w:r>
        <w:rPr>
          <w:rFonts w:ascii="Rockwell" w:hAnsi="Rockwell"/>
          <w:sz w:val="22"/>
          <w:szCs w:val="22"/>
        </w:rPr>
        <w:t xml:space="preserve">ied to any continuous period of </w:t>
      </w:r>
      <w:r w:rsidRPr="00461C59">
        <w:rPr>
          <w:rFonts w:ascii="Rockwell" w:hAnsi="Rockwell"/>
          <w:sz w:val="22"/>
          <w:szCs w:val="22"/>
        </w:rPr>
        <w:t>registration for study with the University</w:t>
      </w:r>
      <w:r>
        <w:rPr>
          <w:rFonts w:ascii="Rockwell" w:hAnsi="Rockwell"/>
        </w:rPr>
        <w:t xml:space="preserve">. </w:t>
      </w:r>
    </w:p>
    <w:p w14:paraId="12F17DBF" w14:textId="77777777" w:rsidR="0047430C" w:rsidRPr="004A68CA" w:rsidRDefault="0047430C" w:rsidP="0047430C">
      <w:pPr>
        <w:jc w:val="both"/>
        <w:rPr>
          <w:rFonts w:ascii="Rockwell" w:hAnsi="Rockwell"/>
          <w:i/>
          <w:sz w:val="22"/>
          <w:szCs w:val="22"/>
        </w:rPr>
      </w:pPr>
      <w:r w:rsidRPr="004A68CA">
        <w:rPr>
          <w:rFonts w:ascii="Rockwell" w:hAnsi="Rockwell"/>
          <w:i/>
          <w:sz w:val="22"/>
          <w:szCs w:val="22"/>
        </w:rPr>
        <w:t>Examples of a continuous period of registration would include:</w:t>
      </w:r>
    </w:p>
    <w:p w14:paraId="5571BAE3" w14:textId="77777777" w:rsidR="0047430C" w:rsidRPr="004A68CA" w:rsidRDefault="0047430C" w:rsidP="0047430C">
      <w:pPr>
        <w:numPr>
          <w:ilvl w:val="0"/>
          <w:numId w:val="28"/>
        </w:numPr>
        <w:jc w:val="both"/>
        <w:rPr>
          <w:rFonts w:ascii="Rockwell" w:hAnsi="Rockwell"/>
          <w:i/>
          <w:sz w:val="22"/>
          <w:szCs w:val="22"/>
        </w:rPr>
      </w:pPr>
      <w:r w:rsidRPr="004A68CA">
        <w:rPr>
          <w:rFonts w:ascii="Rockwell" w:hAnsi="Rockwell"/>
          <w:i/>
          <w:sz w:val="22"/>
          <w:szCs w:val="22"/>
        </w:rPr>
        <w:t>Foundation Degree or HND followed in the next academic year by a Top-up course.</w:t>
      </w:r>
    </w:p>
    <w:p w14:paraId="071B80A4" w14:textId="77777777" w:rsidR="0047430C" w:rsidRDefault="0047430C" w:rsidP="0047430C">
      <w:pPr>
        <w:numPr>
          <w:ilvl w:val="0"/>
          <w:numId w:val="28"/>
        </w:numPr>
        <w:jc w:val="both"/>
        <w:rPr>
          <w:rFonts w:ascii="Rockwell" w:hAnsi="Rockwell"/>
          <w:sz w:val="22"/>
          <w:szCs w:val="22"/>
        </w:rPr>
      </w:pPr>
      <w:r w:rsidRPr="004A68CA">
        <w:rPr>
          <w:rFonts w:ascii="Rockwell" w:hAnsi="Rockwell"/>
          <w:i/>
          <w:sz w:val="22"/>
          <w:szCs w:val="22"/>
        </w:rPr>
        <w:t>Undergraduate degree followed in the next academic year by a postgraduate course</w:t>
      </w:r>
      <w:r w:rsidRPr="004A68CA">
        <w:rPr>
          <w:rFonts w:ascii="Rockwell" w:hAnsi="Rockwell"/>
          <w:sz w:val="22"/>
          <w:szCs w:val="22"/>
        </w:rPr>
        <w:t>.</w:t>
      </w:r>
    </w:p>
    <w:p w14:paraId="4522D5D1" w14:textId="77777777" w:rsidR="0047430C" w:rsidRPr="004A68CA" w:rsidRDefault="0047430C" w:rsidP="0047430C">
      <w:pPr>
        <w:ind w:left="720"/>
        <w:jc w:val="both"/>
        <w:rPr>
          <w:rFonts w:ascii="Rockwell" w:hAnsi="Rockwell"/>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2616"/>
      </w:tblGrid>
      <w:tr w:rsidR="0047430C" w14:paraId="1DA1C6D2" w14:textId="77777777" w:rsidTr="0055518A">
        <w:trPr>
          <w:trHeight w:val="575"/>
        </w:trPr>
        <w:tc>
          <w:tcPr>
            <w:tcW w:w="2552" w:type="dxa"/>
            <w:vAlign w:val="center"/>
          </w:tcPr>
          <w:p w14:paraId="64717C47" w14:textId="77777777" w:rsidR="0047430C" w:rsidRPr="003B4309" w:rsidRDefault="0047430C" w:rsidP="0055518A">
            <w:pPr>
              <w:pStyle w:val="Heading3"/>
              <w:rPr>
                <w:rFonts w:ascii="Rockwell" w:hAnsi="Rockwell"/>
                <w:sz w:val="22"/>
                <w:szCs w:val="22"/>
              </w:rPr>
            </w:pPr>
            <w:r w:rsidRPr="003B4309">
              <w:rPr>
                <w:rFonts w:ascii="Rockwell" w:hAnsi="Rockwell"/>
                <w:sz w:val="22"/>
                <w:szCs w:val="22"/>
              </w:rPr>
              <w:t>Offence</w:t>
            </w:r>
          </w:p>
        </w:tc>
        <w:tc>
          <w:tcPr>
            <w:tcW w:w="12616" w:type="dxa"/>
            <w:vAlign w:val="center"/>
          </w:tcPr>
          <w:p w14:paraId="70B9A953" w14:textId="77777777" w:rsidR="0047430C" w:rsidRPr="003B4309" w:rsidRDefault="0047430C" w:rsidP="0055518A">
            <w:pPr>
              <w:jc w:val="both"/>
              <w:rPr>
                <w:rFonts w:ascii="Rockwell" w:hAnsi="Rockwell"/>
                <w:b/>
                <w:bCs/>
                <w:sz w:val="22"/>
                <w:szCs w:val="22"/>
              </w:rPr>
            </w:pPr>
            <w:r w:rsidRPr="003B4309">
              <w:rPr>
                <w:rFonts w:ascii="Rockwell" w:hAnsi="Rockwell"/>
                <w:b/>
                <w:bCs/>
                <w:sz w:val="22"/>
                <w:szCs w:val="22"/>
              </w:rPr>
              <w:t>Penalty</w:t>
            </w:r>
          </w:p>
        </w:tc>
      </w:tr>
      <w:tr w:rsidR="0047430C" w:rsidRPr="00BB4EF8" w14:paraId="7A039108" w14:textId="77777777" w:rsidTr="0055518A">
        <w:tc>
          <w:tcPr>
            <w:tcW w:w="2552" w:type="dxa"/>
            <w:vAlign w:val="center"/>
          </w:tcPr>
          <w:p w14:paraId="62552EE5" w14:textId="77777777" w:rsidR="0047430C" w:rsidRDefault="0047430C" w:rsidP="0055518A">
            <w:pPr>
              <w:pStyle w:val="BodyTextIndent3"/>
              <w:ind w:left="0"/>
              <w:rPr>
                <w:rFonts w:ascii="Rockwell" w:hAnsi="Rockwell"/>
                <w:sz w:val="22"/>
                <w:szCs w:val="22"/>
              </w:rPr>
            </w:pPr>
            <w:r w:rsidRPr="00BB4EF8">
              <w:rPr>
                <w:rFonts w:ascii="Rockwell" w:hAnsi="Rockwell"/>
                <w:sz w:val="22"/>
                <w:szCs w:val="22"/>
              </w:rPr>
              <w:t>A first offence</w:t>
            </w:r>
            <w:r>
              <w:rPr>
                <w:rFonts w:ascii="Rockwell" w:hAnsi="Rockwell"/>
                <w:sz w:val="22"/>
                <w:szCs w:val="22"/>
              </w:rPr>
              <w:t xml:space="preserve"> </w:t>
            </w:r>
          </w:p>
          <w:p w14:paraId="78F4E167" w14:textId="77777777" w:rsidR="0047430C" w:rsidRDefault="0047430C" w:rsidP="0055518A">
            <w:pPr>
              <w:pStyle w:val="BodyTextIndent3"/>
              <w:ind w:left="0"/>
              <w:rPr>
                <w:rFonts w:ascii="Rockwell" w:hAnsi="Rockwell"/>
                <w:sz w:val="22"/>
                <w:szCs w:val="22"/>
              </w:rPr>
            </w:pPr>
          </w:p>
          <w:p w14:paraId="657820EE" w14:textId="77777777" w:rsidR="0047430C" w:rsidRDefault="0047430C" w:rsidP="0055518A">
            <w:pPr>
              <w:pStyle w:val="BodyTextIndent3"/>
              <w:ind w:left="0"/>
              <w:rPr>
                <w:rFonts w:ascii="Rockwell" w:hAnsi="Rockwell"/>
                <w:sz w:val="22"/>
                <w:szCs w:val="22"/>
              </w:rPr>
            </w:pPr>
          </w:p>
        </w:tc>
        <w:tc>
          <w:tcPr>
            <w:tcW w:w="12616" w:type="dxa"/>
            <w:vAlign w:val="center"/>
          </w:tcPr>
          <w:p w14:paraId="4C9435AF" w14:textId="77777777" w:rsidR="0047430C" w:rsidRDefault="0047430C" w:rsidP="0055518A">
            <w:pPr>
              <w:rPr>
                <w:rFonts w:ascii="Rockwell" w:hAnsi="Rockwell"/>
                <w:sz w:val="22"/>
                <w:szCs w:val="22"/>
              </w:rPr>
            </w:pPr>
            <w:r w:rsidRPr="00BB4EF8">
              <w:rPr>
                <w:rFonts w:ascii="Rockwell" w:hAnsi="Rockwell"/>
                <w:sz w:val="22"/>
                <w:szCs w:val="22"/>
              </w:rPr>
              <w:t xml:space="preserve">Failure of the assessment task in question (e.g. </w:t>
            </w:r>
            <w:r>
              <w:rPr>
                <w:rFonts w:ascii="Rockwell" w:hAnsi="Rockwell"/>
                <w:sz w:val="22"/>
                <w:szCs w:val="22"/>
              </w:rPr>
              <w:t>0%).</w:t>
            </w:r>
          </w:p>
          <w:p w14:paraId="6CDC51A3" w14:textId="77777777" w:rsidR="0047430C" w:rsidRPr="00BB4EF8" w:rsidRDefault="0047430C" w:rsidP="0055518A">
            <w:pPr>
              <w:rPr>
                <w:rFonts w:ascii="Rockwell" w:hAnsi="Rockwell"/>
                <w:sz w:val="22"/>
                <w:szCs w:val="22"/>
              </w:rPr>
            </w:pPr>
          </w:p>
          <w:p w14:paraId="5B34DCF7" w14:textId="77777777" w:rsidR="0047430C" w:rsidRDefault="0047430C" w:rsidP="0055518A">
            <w:pPr>
              <w:rPr>
                <w:rFonts w:ascii="Rockwell" w:hAnsi="Rockwell"/>
                <w:iCs/>
                <w:sz w:val="22"/>
                <w:szCs w:val="22"/>
              </w:rPr>
            </w:pPr>
            <w:r w:rsidRPr="00FF33DD">
              <w:rPr>
                <w:rFonts w:ascii="Rockwell" w:hAnsi="Rockwell"/>
                <w:iCs/>
                <w:sz w:val="22"/>
                <w:szCs w:val="22"/>
              </w:rPr>
              <w:t xml:space="preserve">The student </w:t>
            </w:r>
            <w:r>
              <w:rPr>
                <w:rFonts w:ascii="Rockwell" w:hAnsi="Rockwell"/>
                <w:iCs/>
                <w:sz w:val="22"/>
                <w:szCs w:val="22"/>
              </w:rPr>
              <w:t>may</w:t>
            </w:r>
            <w:r w:rsidRPr="00FF33DD">
              <w:rPr>
                <w:rFonts w:ascii="Rockwell" w:hAnsi="Rockwell"/>
                <w:iCs/>
                <w:sz w:val="22"/>
                <w:szCs w:val="22"/>
              </w:rPr>
              <w:t xml:space="preserve"> be permitted to </w:t>
            </w:r>
            <w:r w:rsidRPr="00FF33DD">
              <w:rPr>
                <w:rFonts w:ascii="Rockwell" w:hAnsi="Rockwell"/>
                <w:b/>
                <w:iCs/>
                <w:sz w:val="22"/>
                <w:szCs w:val="22"/>
                <w:u w:val="single"/>
              </w:rPr>
              <w:t>resit</w:t>
            </w:r>
            <w:r w:rsidRPr="00FF33DD">
              <w:rPr>
                <w:rFonts w:ascii="Rockwell" w:hAnsi="Rockwell"/>
                <w:b/>
                <w:iCs/>
                <w:sz w:val="22"/>
                <w:szCs w:val="22"/>
                <w:vertAlign w:val="superscript"/>
              </w:rPr>
              <w:t xml:space="preserve">* </w:t>
            </w:r>
            <w:r w:rsidRPr="00FF33DD">
              <w:rPr>
                <w:rFonts w:ascii="Rockwell" w:hAnsi="Rockwell"/>
                <w:iCs/>
                <w:sz w:val="22"/>
                <w:szCs w:val="22"/>
              </w:rPr>
              <w:t xml:space="preserve">the </w:t>
            </w:r>
            <w:r>
              <w:rPr>
                <w:rFonts w:ascii="Rockwell" w:hAnsi="Rockwell"/>
                <w:iCs/>
                <w:sz w:val="22"/>
                <w:szCs w:val="22"/>
              </w:rPr>
              <w:t>assessment</w:t>
            </w:r>
            <w:r w:rsidRPr="00FF33DD">
              <w:rPr>
                <w:rFonts w:ascii="Rockwell" w:hAnsi="Rockwell"/>
                <w:iCs/>
                <w:sz w:val="22"/>
                <w:szCs w:val="22"/>
              </w:rPr>
              <w:t xml:space="preserve"> but </w:t>
            </w:r>
            <w:r>
              <w:rPr>
                <w:rFonts w:ascii="Rockwell" w:hAnsi="Rockwell"/>
                <w:iCs/>
                <w:sz w:val="22"/>
                <w:szCs w:val="22"/>
              </w:rPr>
              <w:t>the subsequent grade will be</w:t>
            </w:r>
            <w:r w:rsidRPr="00FF33DD">
              <w:rPr>
                <w:rFonts w:ascii="Rockwell" w:hAnsi="Rockwell"/>
                <w:iCs/>
                <w:sz w:val="22"/>
                <w:szCs w:val="22"/>
              </w:rPr>
              <w:t xml:space="preserve"> restricted to a </w:t>
            </w:r>
            <w:r>
              <w:rPr>
                <w:rFonts w:ascii="Rockwell" w:hAnsi="Rockwell"/>
                <w:iCs/>
                <w:sz w:val="22"/>
                <w:szCs w:val="22"/>
              </w:rPr>
              <w:t>minimum pass</w:t>
            </w:r>
            <w:r w:rsidRPr="00FF33DD">
              <w:rPr>
                <w:rFonts w:ascii="Rockwell" w:hAnsi="Rockwell"/>
                <w:iCs/>
                <w:sz w:val="22"/>
                <w:szCs w:val="22"/>
              </w:rPr>
              <w:t xml:space="preserve"> grade</w:t>
            </w:r>
            <w:r>
              <w:rPr>
                <w:rFonts w:ascii="Rockwell" w:hAnsi="Rockwell"/>
                <w:iCs/>
                <w:sz w:val="22"/>
                <w:szCs w:val="22"/>
              </w:rPr>
              <w:t xml:space="preserve"> (e.g 40% for undergraduate modules, 50% for postgraduate modules)</w:t>
            </w:r>
          </w:p>
          <w:p w14:paraId="160DC839" w14:textId="77777777" w:rsidR="0047430C" w:rsidRDefault="0047430C" w:rsidP="0055518A">
            <w:pPr>
              <w:rPr>
                <w:rFonts w:ascii="Rockwell" w:hAnsi="Rockwell"/>
                <w:iCs/>
                <w:sz w:val="22"/>
                <w:szCs w:val="22"/>
              </w:rPr>
            </w:pPr>
          </w:p>
          <w:p w14:paraId="29C6FA0A" w14:textId="77777777" w:rsidR="0047430C" w:rsidRDefault="0047430C" w:rsidP="0055518A">
            <w:pPr>
              <w:rPr>
                <w:rFonts w:ascii="Rockwell" w:hAnsi="Rockwell"/>
                <w:iCs/>
                <w:sz w:val="22"/>
                <w:szCs w:val="22"/>
              </w:rPr>
            </w:pPr>
            <w:r w:rsidRPr="00FF33DD">
              <w:rPr>
                <w:rFonts w:ascii="Rockwell" w:hAnsi="Rockwell"/>
                <w:iCs/>
                <w:sz w:val="22"/>
                <w:szCs w:val="22"/>
              </w:rPr>
              <w:t xml:space="preserve">A failure in a resit resulting from </w:t>
            </w:r>
            <w:r>
              <w:rPr>
                <w:rFonts w:ascii="Rockwell" w:hAnsi="Rockwell"/>
                <w:iCs/>
                <w:sz w:val="22"/>
                <w:szCs w:val="22"/>
              </w:rPr>
              <w:t xml:space="preserve">proven </w:t>
            </w:r>
            <w:r w:rsidRPr="00FF33DD">
              <w:rPr>
                <w:rFonts w:ascii="Rockwell" w:hAnsi="Rockwell"/>
                <w:iCs/>
                <w:sz w:val="22"/>
                <w:szCs w:val="22"/>
              </w:rPr>
              <w:t>Academic Misconduct will not be eligible for compensation.</w:t>
            </w:r>
          </w:p>
          <w:p w14:paraId="51732879" w14:textId="77777777" w:rsidR="0047430C" w:rsidRDefault="0047430C" w:rsidP="0055518A">
            <w:pPr>
              <w:rPr>
                <w:rFonts w:ascii="Rockwell" w:hAnsi="Rockwell"/>
                <w:iCs/>
                <w:sz w:val="22"/>
                <w:szCs w:val="22"/>
              </w:rPr>
            </w:pPr>
          </w:p>
          <w:p w14:paraId="49E497CD" w14:textId="77777777" w:rsidR="0047430C" w:rsidRDefault="0047430C" w:rsidP="0055518A">
            <w:pPr>
              <w:rPr>
                <w:rFonts w:ascii="Rockwell" w:hAnsi="Rockwell"/>
                <w:sz w:val="22"/>
                <w:szCs w:val="22"/>
              </w:rPr>
            </w:pPr>
            <w:r>
              <w:rPr>
                <w:rFonts w:ascii="Rockwell" w:hAnsi="Rockwell"/>
                <w:sz w:val="22"/>
                <w:szCs w:val="22"/>
              </w:rPr>
              <w:t>In addition, the Panel may recommend that a student undertake a designated Learning Centre Academic Skills course within a defined timescale.</w:t>
            </w:r>
          </w:p>
          <w:p w14:paraId="61A07840" w14:textId="77777777" w:rsidR="0047430C" w:rsidRDefault="0047430C" w:rsidP="0055518A">
            <w:pPr>
              <w:rPr>
                <w:rFonts w:ascii="Rockwell" w:hAnsi="Rockwell"/>
                <w:sz w:val="22"/>
                <w:szCs w:val="22"/>
              </w:rPr>
            </w:pPr>
          </w:p>
          <w:p w14:paraId="643214DA" w14:textId="77777777" w:rsidR="0047430C" w:rsidRDefault="0047430C" w:rsidP="0055518A">
            <w:pPr>
              <w:rPr>
                <w:rFonts w:ascii="Rockwell" w:hAnsi="Rockwell"/>
                <w:iCs/>
                <w:sz w:val="22"/>
                <w:szCs w:val="22"/>
              </w:rPr>
            </w:pPr>
            <w:r>
              <w:rPr>
                <w:rFonts w:ascii="Rockwell" w:hAnsi="Rockwell"/>
                <w:sz w:val="22"/>
                <w:szCs w:val="22"/>
              </w:rPr>
              <w:t>Students who provide authorised proof of engagement in the required skills course will be permitted to resit the assessment with no restriction applied to the resit grade.</w:t>
            </w:r>
          </w:p>
          <w:p w14:paraId="7056D4B8" w14:textId="77777777" w:rsidR="0047430C" w:rsidRDefault="0047430C" w:rsidP="0055518A">
            <w:pPr>
              <w:rPr>
                <w:rFonts w:ascii="Rockwell" w:hAnsi="Rockwell"/>
                <w:sz w:val="22"/>
                <w:szCs w:val="22"/>
              </w:rPr>
            </w:pPr>
          </w:p>
          <w:p w14:paraId="4E2B9BC4" w14:textId="77777777" w:rsidR="0047430C" w:rsidRPr="00BB4EF8" w:rsidRDefault="0047430C" w:rsidP="0055518A">
            <w:pPr>
              <w:rPr>
                <w:rFonts w:ascii="Rockwell" w:hAnsi="Rockwell"/>
                <w:sz w:val="22"/>
                <w:szCs w:val="22"/>
              </w:rPr>
            </w:pPr>
            <w:r>
              <w:rPr>
                <w:rFonts w:ascii="Rockwell" w:hAnsi="Rockwell"/>
                <w:sz w:val="22"/>
                <w:szCs w:val="22"/>
              </w:rPr>
              <w:t>This option is not available where the academic misconduct occurs in a resit.</w:t>
            </w:r>
          </w:p>
        </w:tc>
      </w:tr>
    </w:tbl>
    <w:p w14:paraId="75DFD025" w14:textId="77777777" w:rsidR="0047430C" w:rsidRDefault="0047430C" w:rsidP="0047430C"/>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2616"/>
      </w:tblGrid>
      <w:tr w:rsidR="0047430C" w:rsidRPr="00BB4EF8" w14:paraId="6FFB164B" w14:textId="77777777" w:rsidTr="0055518A">
        <w:tc>
          <w:tcPr>
            <w:tcW w:w="2552" w:type="dxa"/>
            <w:vAlign w:val="center"/>
          </w:tcPr>
          <w:p w14:paraId="26411F8B" w14:textId="77777777" w:rsidR="0047430C" w:rsidRPr="00BB4EF8" w:rsidRDefault="0047430C" w:rsidP="0055518A">
            <w:pPr>
              <w:pStyle w:val="BodyTextIndent3"/>
              <w:spacing w:after="0"/>
              <w:ind w:left="0"/>
              <w:rPr>
                <w:rFonts w:ascii="Rockwell" w:hAnsi="Rockwell"/>
                <w:sz w:val="22"/>
                <w:szCs w:val="22"/>
              </w:rPr>
            </w:pPr>
            <w:r w:rsidRPr="00BB4EF8">
              <w:rPr>
                <w:rFonts w:ascii="Rockwell" w:hAnsi="Rockwell"/>
                <w:sz w:val="22"/>
                <w:szCs w:val="22"/>
              </w:rPr>
              <w:t>A second offence</w:t>
            </w:r>
            <w:r w:rsidRPr="00BB4EF8">
              <w:rPr>
                <w:rFonts w:ascii="Rockwell" w:hAnsi="Rockwell"/>
                <w:b/>
                <w:bCs/>
                <w:sz w:val="22"/>
                <w:szCs w:val="22"/>
              </w:rPr>
              <w:t xml:space="preserve"> </w:t>
            </w:r>
          </w:p>
        </w:tc>
        <w:tc>
          <w:tcPr>
            <w:tcW w:w="12616" w:type="dxa"/>
            <w:vAlign w:val="center"/>
          </w:tcPr>
          <w:p w14:paraId="2B63D3F7" w14:textId="77777777" w:rsidR="0047430C" w:rsidRPr="00BB4EF8" w:rsidRDefault="0047430C" w:rsidP="0055518A">
            <w:pPr>
              <w:rPr>
                <w:rFonts w:ascii="Rockwell" w:hAnsi="Rockwell"/>
                <w:sz w:val="22"/>
                <w:szCs w:val="22"/>
              </w:rPr>
            </w:pPr>
            <w:r w:rsidRPr="00BB4EF8">
              <w:rPr>
                <w:rFonts w:ascii="Rockwell" w:hAnsi="Rockwell"/>
                <w:sz w:val="22"/>
                <w:szCs w:val="22"/>
              </w:rPr>
              <w:t>Failure of the module in question</w:t>
            </w:r>
          </w:p>
          <w:p w14:paraId="2FC7749C" w14:textId="77777777" w:rsidR="0047430C" w:rsidRPr="00BB4EF8" w:rsidRDefault="0047430C" w:rsidP="0055518A">
            <w:pPr>
              <w:rPr>
                <w:rFonts w:ascii="Rockwell" w:hAnsi="Rockwell"/>
                <w:sz w:val="22"/>
                <w:szCs w:val="22"/>
              </w:rPr>
            </w:pPr>
            <w:r w:rsidRPr="00BB4EF8">
              <w:rPr>
                <w:rFonts w:ascii="Rockwell" w:hAnsi="Rockwell"/>
                <w:sz w:val="22"/>
                <w:szCs w:val="22"/>
              </w:rPr>
              <w:t xml:space="preserve">(e.g. </w:t>
            </w:r>
            <w:r>
              <w:rPr>
                <w:rFonts w:ascii="Rockwell" w:hAnsi="Rockwell"/>
                <w:sz w:val="22"/>
                <w:szCs w:val="22"/>
              </w:rPr>
              <w:t>0% for the module overall</w:t>
            </w:r>
            <w:r w:rsidRPr="00BB4EF8">
              <w:rPr>
                <w:rFonts w:ascii="Rockwell" w:hAnsi="Rockwell"/>
                <w:sz w:val="22"/>
                <w:szCs w:val="22"/>
              </w:rPr>
              <w:t>)</w:t>
            </w:r>
          </w:p>
          <w:p w14:paraId="11D16243" w14:textId="77777777" w:rsidR="0047430C" w:rsidRPr="00BB4EF8" w:rsidRDefault="0047430C" w:rsidP="0055518A">
            <w:pPr>
              <w:rPr>
                <w:rFonts w:ascii="Rockwell" w:hAnsi="Rockwell"/>
                <w:i/>
                <w:iCs/>
                <w:sz w:val="22"/>
                <w:szCs w:val="22"/>
              </w:rPr>
            </w:pPr>
          </w:p>
          <w:p w14:paraId="28B352CC" w14:textId="77777777" w:rsidR="0047430C" w:rsidRDefault="0047430C" w:rsidP="0055518A">
            <w:pPr>
              <w:rPr>
                <w:rFonts w:ascii="Rockwell" w:hAnsi="Rockwell"/>
                <w:iCs/>
                <w:sz w:val="22"/>
                <w:szCs w:val="22"/>
              </w:rPr>
            </w:pPr>
            <w:r w:rsidRPr="00FF33DD">
              <w:rPr>
                <w:rFonts w:ascii="Rockwell" w:hAnsi="Rockwell"/>
                <w:iCs/>
                <w:sz w:val="22"/>
                <w:szCs w:val="22"/>
              </w:rPr>
              <w:t xml:space="preserve">The student may be permitted to </w:t>
            </w:r>
            <w:r w:rsidRPr="00FF33DD">
              <w:rPr>
                <w:rFonts w:ascii="Rockwell" w:hAnsi="Rockwell"/>
                <w:b/>
                <w:iCs/>
                <w:sz w:val="22"/>
                <w:szCs w:val="22"/>
                <w:u w:val="single"/>
              </w:rPr>
              <w:t>retake</w:t>
            </w:r>
            <w:r w:rsidRPr="00FF33DD">
              <w:rPr>
                <w:rFonts w:ascii="Rockwell" w:hAnsi="Rockwell"/>
                <w:b/>
                <w:iCs/>
                <w:sz w:val="22"/>
                <w:szCs w:val="22"/>
                <w:u w:val="single"/>
                <w:vertAlign w:val="superscript"/>
              </w:rPr>
              <w:t>*</w:t>
            </w:r>
            <w:r w:rsidRPr="00FF33DD">
              <w:rPr>
                <w:rFonts w:ascii="Rockwell" w:hAnsi="Rockwell"/>
                <w:sz w:val="22"/>
                <w:szCs w:val="22"/>
                <w:vertAlign w:val="superscript"/>
              </w:rPr>
              <w:t>†</w:t>
            </w:r>
            <w:r w:rsidRPr="00FF33DD">
              <w:rPr>
                <w:rFonts w:ascii="Rockwell" w:hAnsi="Rockwell"/>
                <w:b/>
                <w:iCs/>
                <w:sz w:val="22"/>
                <w:szCs w:val="22"/>
              </w:rPr>
              <w:t xml:space="preserve"> </w:t>
            </w:r>
            <w:r w:rsidRPr="00FF33DD">
              <w:rPr>
                <w:rFonts w:ascii="Rockwell" w:hAnsi="Rockwell"/>
                <w:iCs/>
                <w:sz w:val="22"/>
                <w:szCs w:val="22"/>
              </w:rPr>
              <w:t xml:space="preserve">the module but </w:t>
            </w:r>
            <w:r>
              <w:rPr>
                <w:rFonts w:ascii="Rockwell" w:hAnsi="Rockwell"/>
                <w:iCs/>
                <w:sz w:val="22"/>
                <w:szCs w:val="22"/>
              </w:rPr>
              <w:t xml:space="preserve">the overall grade </w:t>
            </w:r>
            <w:r w:rsidRPr="00FF33DD">
              <w:rPr>
                <w:rFonts w:ascii="Rockwell" w:hAnsi="Rockwell"/>
                <w:iCs/>
                <w:sz w:val="22"/>
                <w:szCs w:val="22"/>
              </w:rPr>
              <w:t xml:space="preserve">will be </w:t>
            </w:r>
            <w:r>
              <w:rPr>
                <w:rFonts w:ascii="Rockwell" w:hAnsi="Rockwell"/>
                <w:iCs/>
                <w:sz w:val="22"/>
                <w:szCs w:val="22"/>
              </w:rPr>
              <w:t>r</w:t>
            </w:r>
            <w:r w:rsidRPr="00FF33DD">
              <w:rPr>
                <w:rFonts w:ascii="Rockwell" w:hAnsi="Rockwell"/>
                <w:iCs/>
                <w:sz w:val="22"/>
                <w:szCs w:val="22"/>
              </w:rPr>
              <w:t xml:space="preserve">estricted to a </w:t>
            </w:r>
            <w:r>
              <w:rPr>
                <w:rFonts w:ascii="Rockwell" w:hAnsi="Rockwell"/>
                <w:iCs/>
                <w:sz w:val="22"/>
                <w:szCs w:val="22"/>
              </w:rPr>
              <w:t>minimum pass e.g 40% for undergraduate modules, 50% for postgraduate modules)</w:t>
            </w:r>
          </w:p>
          <w:p w14:paraId="027C2744" w14:textId="77777777" w:rsidR="0047430C" w:rsidRPr="00BB4EF8" w:rsidRDefault="0047430C" w:rsidP="0055518A">
            <w:pPr>
              <w:rPr>
                <w:rFonts w:ascii="Rockwell" w:hAnsi="Rockwell"/>
                <w:i/>
                <w:iCs/>
                <w:sz w:val="22"/>
                <w:szCs w:val="22"/>
              </w:rPr>
            </w:pPr>
          </w:p>
        </w:tc>
      </w:tr>
      <w:tr w:rsidR="0047430C" w14:paraId="119EB310" w14:textId="77777777" w:rsidTr="0055518A">
        <w:trPr>
          <w:trHeight w:val="422"/>
        </w:trPr>
        <w:tc>
          <w:tcPr>
            <w:tcW w:w="2552" w:type="dxa"/>
            <w:vAlign w:val="center"/>
          </w:tcPr>
          <w:p w14:paraId="0E933D1A" w14:textId="77777777" w:rsidR="0047430C" w:rsidRPr="003B4309" w:rsidRDefault="0047430C" w:rsidP="0055518A">
            <w:pPr>
              <w:pStyle w:val="BodyTextIndent3"/>
              <w:spacing w:after="0"/>
              <w:ind w:left="0"/>
              <w:rPr>
                <w:rFonts w:ascii="Rockwell" w:hAnsi="Rockwell"/>
                <w:color w:val="000000"/>
                <w:sz w:val="22"/>
                <w:szCs w:val="22"/>
              </w:rPr>
            </w:pPr>
            <w:r w:rsidRPr="003B4309">
              <w:rPr>
                <w:rFonts w:ascii="Rockwell" w:hAnsi="Rockwell"/>
                <w:color w:val="000000"/>
                <w:sz w:val="22"/>
                <w:szCs w:val="22"/>
              </w:rPr>
              <w:t>A third offence</w:t>
            </w:r>
            <w:r w:rsidRPr="003B4309">
              <w:rPr>
                <w:rFonts w:ascii="Rockwell" w:hAnsi="Rockwell"/>
                <w:b/>
                <w:bCs/>
                <w:color w:val="000000"/>
                <w:sz w:val="22"/>
                <w:szCs w:val="22"/>
              </w:rPr>
              <w:t xml:space="preserve"> </w:t>
            </w:r>
          </w:p>
        </w:tc>
        <w:tc>
          <w:tcPr>
            <w:tcW w:w="12616" w:type="dxa"/>
            <w:vAlign w:val="center"/>
          </w:tcPr>
          <w:p w14:paraId="419BD09B" w14:textId="77777777" w:rsidR="0047430C" w:rsidRPr="00BB4EF8" w:rsidRDefault="0047430C" w:rsidP="0055518A">
            <w:pPr>
              <w:pStyle w:val="BodyTextIndent2"/>
              <w:spacing w:after="0" w:line="240" w:lineRule="auto"/>
              <w:ind w:left="0"/>
              <w:rPr>
                <w:rFonts w:ascii="Rockwell" w:hAnsi="Rockwell"/>
                <w:sz w:val="22"/>
                <w:szCs w:val="22"/>
              </w:rPr>
            </w:pPr>
            <w:r w:rsidRPr="003B4309">
              <w:rPr>
                <w:rFonts w:ascii="Rockwell" w:hAnsi="Rockwell"/>
                <w:sz w:val="22"/>
                <w:szCs w:val="22"/>
              </w:rPr>
              <w:t>Exclusion from the University</w:t>
            </w:r>
            <w:r w:rsidRPr="00DD25E5">
              <w:rPr>
                <w:rFonts w:ascii="Rockwell" w:hAnsi="Rockwell"/>
                <w:sz w:val="22"/>
                <w:szCs w:val="22"/>
                <w:vertAlign w:val="superscript"/>
              </w:rPr>
              <w:t>‡</w:t>
            </w:r>
            <w:r w:rsidRPr="003B4309">
              <w:rPr>
                <w:rFonts w:ascii="Rockwell" w:hAnsi="Rockwell"/>
                <w:sz w:val="22"/>
                <w:szCs w:val="22"/>
              </w:rPr>
              <w:t>.</w:t>
            </w:r>
          </w:p>
        </w:tc>
      </w:tr>
    </w:tbl>
    <w:p w14:paraId="10481DBE" w14:textId="77777777" w:rsidR="0047430C" w:rsidRDefault="0047430C" w:rsidP="0047430C">
      <w:pPr>
        <w:jc w:val="both"/>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1028"/>
      </w:tblGrid>
      <w:tr w:rsidR="0047430C" w14:paraId="422878B1" w14:textId="77777777" w:rsidTr="0055518A">
        <w:trPr>
          <w:trHeight w:val="481"/>
        </w:trPr>
        <w:tc>
          <w:tcPr>
            <w:tcW w:w="15168" w:type="dxa"/>
            <w:gridSpan w:val="2"/>
            <w:vAlign w:val="center"/>
          </w:tcPr>
          <w:p w14:paraId="39A9CCF4" w14:textId="77777777" w:rsidR="0047430C" w:rsidRDefault="0047430C" w:rsidP="0055518A">
            <w:pPr>
              <w:pStyle w:val="BodyTextIndent2"/>
              <w:spacing w:after="0" w:line="240" w:lineRule="auto"/>
              <w:ind w:left="0"/>
              <w:jc w:val="both"/>
              <w:rPr>
                <w:rFonts w:ascii="Rockwell" w:hAnsi="Rockwell"/>
                <w:b/>
                <w:bCs/>
                <w:sz w:val="22"/>
                <w:szCs w:val="22"/>
              </w:rPr>
            </w:pPr>
            <w:r>
              <w:rPr>
                <w:rFonts w:ascii="Rockwell" w:hAnsi="Rockwell"/>
                <w:b/>
                <w:bCs/>
                <w:sz w:val="22"/>
                <w:szCs w:val="22"/>
              </w:rPr>
              <w:t xml:space="preserve">Serious Offences </w:t>
            </w:r>
          </w:p>
        </w:tc>
      </w:tr>
      <w:tr w:rsidR="0047430C" w14:paraId="076A6F73" w14:textId="77777777" w:rsidTr="0055518A">
        <w:trPr>
          <w:trHeight w:val="4100"/>
        </w:trPr>
        <w:tc>
          <w:tcPr>
            <w:tcW w:w="15168" w:type="dxa"/>
            <w:gridSpan w:val="2"/>
          </w:tcPr>
          <w:p w14:paraId="25AB0627" w14:textId="77777777" w:rsidR="0047430C" w:rsidRDefault="0047430C" w:rsidP="0055518A">
            <w:pPr>
              <w:jc w:val="both"/>
              <w:rPr>
                <w:rFonts w:ascii="Rockwell" w:hAnsi="Rockwell"/>
                <w:sz w:val="22"/>
                <w:szCs w:val="22"/>
              </w:rPr>
            </w:pPr>
            <w:r w:rsidRPr="003B4309">
              <w:rPr>
                <w:rFonts w:ascii="Rockwell" w:hAnsi="Rockwell"/>
                <w:sz w:val="22"/>
                <w:szCs w:val="22"/>
              </w:rPr>
              <w:t xml:space="preserve">Serious academic misconduct is defined as </w:t>
            </w:r>
            <w:r>
              <w:rPr>
                <w:rFonts w:ascii="Rockwell" w:hAnsi="Rockwell"/>
                <w:sz w:val="22"/>
                <w:szCs w:val="22"/>
              </w:rPr>
              <w:t>any case</w:t>
            </w:r>
            <w:r w:rsidRPr="003B4309">
              <w:rPr>
                <w:rFonts w:ascii="Rockwell" w:hAnsi="Rockwell"/>
                <w:sz w:val="22"/>
                <w:szCs w:val="22"/>
              </w:rPr>
              <w:t>, which has either been admitted by a student, or</w:t>
            </w:r>
            <w:r>
              <w:rPr>
                <w:rFonts w:ascii="Rockwell" w:hAnsi="Rockwell"/>
                <w:sz w:val="22"/>
                <w:szCs w:val="22"/>
              </w:rPr>
              <w:t xml:space="preserve"> which a panel has judged to include:</w:t>
            </w:r>
          </w:p>
          <w:p w14:paraId="2D17D691" w14:textId="77777777" w:rsidR="0047430C" w:rsidRDefault="0047430C" w:rsidP="0055518A">
            <w:pPr>
              <w:jc w:val="both"/>
              <w:rPr>
                <w:rFonts w:ascii="Rockwell" w:hAnsi="Rockwell"/>
                <w:sz w:val="22"/>
                <w:szCs w:val="22"/>
              </w:rPr>
            </w:pPr>
          </w:p>
          <w:p w14:paraId="068F4EB3" w14:textId="77777777" w:rsidR="0047430C" w:rsidRDefault="0047430C" w:rsidP="0055518A">
            <w:pPr>
              <w:numPr>
                <w:ilvl w:val="0"/>
                <w:numId w:val="26"/>
              </w:numPr>
              <w:jc w:val="both"/>
              <w:rPr>
                <w:rFonts w:ascii="Rockwell" w:hAnsi="Rockwell"/>
                <w:sz w:val="22"/>
                <w:szCs w:val="22"/>
              </w:rPr>
            </w:pPr>
            <w:r w:rsidRPr="003B4309">
              <w:rPr>
                <w:rFonts w:ascii="Rockwell" w:hAnsi="Rockwell"/>
                <w:sz w:val="22"/>
                <w:szCs w:val="22"/>
              </w:rPr>
              <w:t>deliberate, premeditated cheating</w:t>
            </w:r>
            <w:r>
              <w:rPr>
                <w:rFonts w:ascii="Rockwell" w:hAnsi="Rockwell"/>
                <w:sz w:val="22"/>
                <w:szCs w:val="22"/>
              </w:rPr>
              <w:t>,</w:t>
            </w:r>
          </w:p>
          <w:p w14:paraId="42CACA39" w14:textId="77777777" w:rsidR="0047430C" w:rsidRDefault="0047430C" w:rsidP="0055518A">
            <w:pPr>
              <w:numPr>
                <w:ilvl w:val="0"/>
                <w:numId w:val="26"/>
              </w:numPr>
              <w:jc w:val="both"/>
              <w:rPr>
                <w:rFonts w:ascii="Rockwell" w:hAnsi="Rockwell"/>
                <w:sz w:val="22"/>
                <w:szCs w:val="22"/>
              </w:rPr>
            </w:pPr>
            <w:r w:rsidRPr="003B4309">
              <w:rPr>
                <w:rFonts w:ascii="Rockwell" w:hAnsi="Rockwell"/>
                <w:sz w:val="22"/>
                <w:szCs w:val="22"/>
              </w:rPr>
              <w:t>premeditated attempt to deceive and gain unfair advantage</w:t>
            </w:r>
            <w:r>
              <w:rPr>
                <w:rFonts w:ascii="Rockwell" w:hAnsi="Rockwell"/>
                <w:sz w:val="22"/>
                <w:szCs w:val="22"/>
              </w:rPr>
              <w:t>,</w:t>
            </w:r>
          </w:p>
          <w:p w14:paraId="78BCB216" w14:textId="77777777" w:rsidR="0047430C" w:rsidRDefault="0047430C" w:rsidP="0055518A">
            <w:pPr>
              <w:numPr>
                <w:ilvl w:val="0"/>
                <w:numId w:val="26"/>
              </w:numPr>
              <w:ind w:right="226"/>
              <w:jc w:val="both"/>
              <w:rPr>
                <w:rFonts w:ascii="Rockwell" w:hAnsi="Rockwell"/>
                <w:sz w:val="22"/>
                <w:szCs w:val="22"/>
              </w:rPr>
            </w:pPr>
            <w:r>
              <w:rPr>
                <w:rFonts w:ascii="Rockwell" w:hAnsi="Rockwell"/>
                <w:sz w:val="22"/>
                <w:szCs w:val="22"/>
              </w:rPr>
              <w:t xml:space="preserve">a </w:t>
            </w:r>
            <w:r w:rsidRPr="00FF33DD">
              <w:rPr>
                <w:rFonts w:ascii="Rockwell" w:hAnsi="Rockwell"/>
                <w:sz w:val="22"/>
                <w:szCs w:val="22"/>
              </w:rPr>
              <w:t xml:space="preserve">significant degree of Academic Misconduct </w:t>
            </w:r>
            <w:r>
              <w:rPr>
                <w:rFonts w:ascii="Rockwell" w:hAnsi="Rockwell"/>
                <w:sz w:val="22"/>
                <w:szCs w:val="22"/>
              </w:rPr>
              <w:t>affecting</w:t>
            </w:r>
            <w:r w:rsidRPr="00FF33DD">
              <w:rPr>
                <w:rFonts w:ascii="Rockwell" w:hAnsi="Rockwell"/>
                <w:sz w:val="22"/>
                <w:szCs w:val="22"/>
              </w:rPr>
              <w:t xml:space="preserve"> critical aspects</w:t>
            </w:r>
            <w:r>
              <w:rPr>
                <w:rFonts w:ascii="Rockwell" w:hAnsi="Rockwell"/>
                <w:sz w:val="22"/>
                <w:szCs w:val="22"/>
              </w:rPr>
              <w:t>˚ of an assignment.</w:t>
            </w:r>
          </w:p>
          <w:p w14:paraId="7A08FDD5" w14:textId="77777777" w:rsidR="0047430C" w:rsidRDefault="0047430C" w:rsidP="0055518A">
            <w:pPr>
              <w:ind w:right="226"/>
              <w:jc w:val="both"/>
              <w:rPr>
                <w:rFonts w:ascii="Rockwell" w:hAnsi="Rockwell"/>
                <w:sz w:val="22"/>
                <w:szCs w:val="22"/>
              </w:rPr>
            </w:pPr>
            <w:r w:rsidRPr="008402FC">
              <w:rPr>
                <w:rFonts w:ascii="Rockwell" w:hAnsi="Rockwell"/>
                <w:sz w:val="20"/>
                <w:szCs w:val="20"/>
              </w:rPr>
              <w:t xml:space="preserve">˚ </w:t>
            </w:r>
            <w:r>
              <w:rPr>
                <w:rFonts w:ascii="Rockwell" w:hAnsi="Rockwell"/>
                <w:sz w:val="20"/>
                <w:szCs w:val="20"/>
              </w:rPr>
              <w:t>“</w:t>
            </w:r>
            <w:r w:rsidRPr="008402FC">
              <w:rPr>
                <w:rFonts w:ascii="Rockwell" w:hAnsi="Rockwell"/>
                <w:sz w:val="20"/>
                <w:szCs w:val="20"/>
              </w:rPr>
              <w:t>Critical aspects</w:t>
            </w:r>
            <w:r>
              <w:rPr>
                <w:rFonts w:ascii="Rockwell" w:hAnsi="Rockwell"/>
                <w:sz w:val="20"/>
                <w:szCs w:val="20"/>
              </w:rPr>
              <w:t>”</w:t>
            </w:r>
            <w:r w:rsidRPr="008402FC">
              <w:rPr>
                <w:rFonts w:ascii="Rockwell" w:hAnsi="Rockwell"/>
                <w:sz w:val="20"/>
                <w:szCs w:val="20"/>
              </w:rPr>
              <w:t xml:space="preserve"> refers to key ideas central to the assignment</w:t>
            </w:r>
            <w:r>
              <w:rPr>
                <w:rFonts w:ascii="Rockwell" w:hAnsi="Rockwell"/>
                <w:sz w:val="20"/>
                <w:szCs w:val="20"/>
              </w:rPr>
              <w:t>.</w:t>
            </w:r>
            <w:r>
              <w:rPr>
                <w:rFonts w:ascii="Rockwell" w:hAnsi="Rockwell"/>
                <w:sz w:val="22"/>
                <w:szCs w:val="22"/>
              </w:rPr>
              <w:t xml:space="preserve"> </w:t>
            </w:r>
          </w:p>
          <w:p w14:paraId="45FEE0B8" w14:textId="77777777" w:rsidR="0047430C" w:rsidRDefault="0047430C" w:rsidP="0055518A">
            <w:pPr>
              <w:ind w:right="226"/>
              <w:jc w:val="both"/>
              <w:rPr>
                <w:rFonts w:ascii="Rockwell" w:hAnsi="Rockwell"/>
                <w:sz w:val="22"/>
                <w:szCs w:val="22"/>
              </w:rPr>
            </w:pPr>
          </w:p>
          <w:p w14:paraId="5DFFD4EC" w14:textId="77777777" w:rsidR="0047430C" w:rsidRDefault="0047430C" w:rsidP="0055518A">
            <w:pPr>
              <w:jc w:val="both"/>
              <w:rPr>
                <w:rFonts w:ascii="Rockwell" w:hAnsi="Rockwell"/>
                <w:i/>
                <w:iCs/>
                <w:sz w:val="22"/>
                <w:szCs w:val="22"/>
              </w:rPr>
            </w:pPr>
            <w:r>
              <w:rPr>
                <w:rFonts w:ascii="Rockwell" w:hAnsi="Rockwell"/>
                <w:sz w:val="22"/>
                <w:szCs w:val="22"/>
              </w:rPr>
              <w:t>In deciding the seriousness of an offence the panel will take into consideration the nature of the offence, the significance of the assessment, the level of study and any evidence of deliberate attempts to avoid detection.</w:t>
            </w:r>
            <w:r>
              <w:rPr>
                <w:rFonts w:ascii="Rockwell" w:hAnsi="Rockwell"/>
                <w:i/>
                <w:iCs/>
                <w:sz w:val="22"/>
                <w:szCs w:val="22"/>
              </w:rPr>
              <w:t xml:space="preserve"> </w:t>
            </w:r>
            <w:r w:rsidRPr="004F387A">
              <w:rPr>
                <w:rFonts w:ascii="Rockwell" w:hAnsi="Rockwell"/>
                <w:iCs/>
                <w:sz w:val="22"/>
                <w:szCs w:val="22"/>
              </w:rPr>
              <w:t>Examples of a serious offence may include:</w:t>
            </w:r>
          </w:p>
          <w:p w14:paraId="3A985905" w14:textId="77777777" w:rsidR="0047430C" w:rsidRDefault="0047430C" w:rsidP="0055518A">
            <w:pPr>
              <w:numPr>
                <w:ilvl w:val="0"/>
                <w:numId w:val="27"/>
              </w:numPr>
              <w:jc w:val="both"/>
              <w:rPr>
                <w:rFonts w:ascii="Rockwell" w:hAnsi="Rockwell"/>
                <w:i/>
                <w:iCs/>
                <w:sz w:val="22"/>
                <w:szCs w:val="22"/>
              </w:rPr>
            </w:pPr>
            <w:r w:rsidRPr="003B4309">
              <w:rPr>
                <w:rFonts w:ascii="Rockwell" w:hAnsi="Rockwell"/>
                <w:i/>
                <w:iCs/>
                <w:sz w:val="22"/>
                <w:szCs w:val="22"/>
              </w:rPr>
              <w:t>th</w:t>
            </w:r>
            <w:r>
              <w:rPr>
                <w:rFonts w:ascii="Rockwell" w:hAnsi="Rockwell"/>
                <w:i/>
                <w:iCs/>
                <w:sz w:val="22"/>
                <w:szCs w:val="22"/>
              </w:rPr>
              <w:t xml:space="preserve">eft of another students work, </w:t>
            </w:r>
          </w:p>
          <w:p w14:paraId="019BF541" w14:textId="77777777" w:rsidR="0047430C" w:rsidRDefault="0047430C" w:rsidP="0055518A">
            <w:pPr>
              <w:numPr>
                <w:ilvl w:val="0"/>
                <w:numId w:val="27"/>
              </w:numPr>
              <w:jc w:val="both"/>
              <w:rPr>
                <w:rFonts w:ascii="Rockwell" w:hAnsi="Rockwell"/>
                <w:i/>
                <w:iCs/>
                <w:sz w:val="22"/>
                <w:szCs w:val="22"/>
              </w:rPr>
            </w:pPr>
            <w:r w:rsidRPr="003B4309">
              <w:rPr>
                <w:rFonts w:ascii="Rockwell" w:hAnsi="Rockwell"/>
                <w:i/>
                <w:iCs/>
                <w:sz w:val="22"/>
                <w:szCs w:val="22"/>
              </w:rPr>
              <w:t>cheating in an examination</w:t>
            </w:r>
            <w:r>
              <w:rPr>
                <w:rFonts w:ascii="Rockwell" w:hAnsi="Rockwell"/>
                <w:i/>
                <w:iCs/>
                <w:sz w:val="22"/>
                <w:szCs w:val="22"/>
              </w:rPr>
              <w:t xml:space="preserve">, </w:t>
            </w:r>
          </w:p>
          <w:p w14:paraId="571C6952" w14:textId="77777777" w:rsidR="0047430C" w:rsidRDefault="0047430C" w:rsidP="0055518A">
            <w:pPr>
              <w:numPr>
                <w:ilvl w:val="0"/>
                <w:numId w:val="27"/>
              </w:numPr>
              <w:jc w:val="both"/>
              <w:rPr>
                <w:rFonts w:ascii="Rockwell" w:hAnsi="Rockwell"/>
                <w:i/>
                <w:iCs/>
                <w:sz w:val="22"/>
                <w:szCs w:val="22"/>
              </w:rPr>
            </w:pPr>
            <w:r>
              <w:rPr>
                <w:rFonts w:ascii="Rockwell" w:hAnsi="Rockwell"/>
                <w:i/>
                <w:iCs/>
                <w:sz w:val="22"/>
                <w:szCs w:val="22"/>
              </w:rPr>
              <w:t>commissioning work,</w:t>
            </w:r>
          </w:p>
          <w:p w14:paraId="78015D28" w14:textId="77777777" w:rsidR="0047430C" w:rsidRPr="0027771D" w:rsidRDefault="0047430C" w:rsidP="0055518A">
            <w:pPr>
              <w:numPr>
                <w:ilvl w:val="0"/>
                <w:numId w:val="27"/>
              </w:numPr>
              <w:jc w:val="both"/>
              <w:rPr>
                <w:rFonts w:ascii="Rockwell" w:hAnsi="Rockwell"/>
                <w:i/>
                <w:sz w:val="22"/>
                <w:szCs w:val="22"/>
              </w:rPr>
            </w:pPr>
            <w:r w:rsidRPr="0027771D">
              <w:rPr>
                <w:rFonts w:ascii="Rockwell" w:hAnsi="Rockwell"/>
                <w:i/>
                <w:sz w:val="22"/>
                <w:szCs w:val="22"/>
              </w:rPr>
              <w:t>submitting essays downloaded from the internet</w:t>
            </w:r>
          </w:p>
          <w:p w14:paraId="675FC230" w14:textId="77777777" w:rsidR="0047430C" w:rsidRDefault="0047430C" w:rsidP="0055518A">
            <w:pPr>
              <w:numPr>
                <w:ilvl w:val="0"/>
                <w:numId w:val="27"/>
              </w:numPr>
              <w:jc w:val="both"/>
              <w:rPr>
                <w:rFonts w:ascii="Rockwell" w:hAnsi="Rockwell"/>
                <w:i/>
                <w:iCs/>
                <w:sz w:val="22"/>
                <w:szCs w:val="22"/>
              </w:rPr>
            </w:pPr>
            <w:r>
              <w:rPr>
                <w:rFonts w:ascii="Rockwell" w:hAnsi="Rockwell"/>
                <w:i/>
                <w:iCs/>
                <w:sz w:val="22"/>
                <w:szCs w:val="22"/>
              </w:rPr>
              <w:t xml:space="preserve">impersonation of another student, </w:t>
            </w:r>
          </w:p>
          <w:p w14:paraId="5FA9929D" w14:textId="77777777" w:rsidR="0047430C" w:rsidRPr="003B4309" w:rsidRDefault="0047430C" w:rsidP="0055518A">
            <w:pPr>
              <w:jc w:val="both"/>
              <w:rPr>
                <w:rFonts w:ascii="Rockwell" w:hAnsi="Rockwell"/>
                <w:sz w:val="22"/>
                <w:szCs w:val="22"/>
              </w:rPr>
            </w:pPr>
            <w:r w:rsidRPr="004F387A">
              <w:rPr>
                <w:rFonts w:ascii="Rockwell" w:hAnsi="Rockwell"/>
                <w:i/>
                <w:iCs/>
                <w:sz w:val="22"/>
                <w:szCs w:val="22"/>
              </w:rPr>
              <w:t xml:space="preserve">significant plagiarism in a critical piece of work i.e Dissertation/Thesis. </w:t>
            </w:r>
            <w:r w:rsidRPr="004F387A">
              <w:rPr>
                <w:rFonts w:ascii="Rockwell" w:hAnsi="Rockwell"/>
                <w:sz w:val="22"/>
                <w:szCs w:val="22"/>
              </w:rPr>
              <w:t xml:space="preserve"> </w:t>
            </w:r>
          </w:p>
        </w:tc>
      </w:tr>
      <w:tr w:rsidR="0047430C" w:rsidRPr="00BB4EF8" w14:paraId="1D311215" w14:textId="77777777" w:rsidTr="0055518A">
        <w:trPr>
          <w:trHeight w:val="415"/>
        </w:trPr>
        <w:tc>
          <w:tcPr>
            <w:tcW w:w="15168" w:type="dxa"/>
            <w:gridSpan w:val="2"/>
            <w:vAlign w:val="center"/>
          </w:tcPr>
          <w:p w14:paraId="19423D29" w14:textId="77777777" w:rsidR="0047430C" w:rsidRPr="00FD2EB7" w:rsidRDefault="0047430C" w:rsidP="0055518A">
            <w:pPr>
              <w:jc w:val="both"/>
              <w:rPr>
                <w:rFonts w:ascii="Rockwell" w:hAnsi="Rockwell"/>
                <w:b/>
                <w:bCs/>
                <w:sz w:val="22"/>
                <w:szCs w:val="22"/>
              </w:rPr>
            </w:pPr>
            <w:r>
              <w:rPr>
                <w:rFonts w:ascii="Rockwell" w:hAnsi="Rockwell"/>
                <w:b/>
                <w:bCs/>
                <w:sz w:val="22"/>
                <w:szCs w:val="22"/>
              </w:rPr>
              <w:t>Undergraduate</w:t>
            </w:r>
          </w:p>
        </w:tc>
      </w:tr>
      <w:tr w:rsidR="0047430C" w:rsidRPr="00BB4EF8" w14:paraId="27893D0D" w14:textId="77777777" w:rsidTr="0055518A">
        <w:tc>
          <w:tcPr>
            <w:tcW w:w="4140" w:type="dxa"/>
            <w:vAlign w:val="center"/>
          </w:tcPr>
          <w:p w14:paraId="7E8F6E57" w14:textId="77777777" w:rsidR="0047430C" w:rsidRPr="00C738C3" w:rsidRDefault="0047430C" w:rsidP="0055518A">
            <w:pPr>
              <w:rPr>
                <w:rFonts w:ascii="Rockwell" w:hAnsi="Rockwell"/>
                <w:sz w:val="22"/>
                <w:szCs w:val="22"/>
              </w:rPr>
            </w:pPr>
            <w:r w:rsidRPr="00C738C3">
              <w:rPr>
                <w:rFonts w:ascii="Rockwell" w:hAnsi="Rockwell"/>
                <w:bCs/>
                <w:sz w:val="22"/>
                <w:szCs w:val="22"/>
              </w:rPr>
              <w:t>First Serious Offence</w:t>
            </w:r>
          </w:p>
          <w:p w14:paraId="5F890114" w14:textId="77777777" w:rsidR="0047430C" w:rsidRPr="00C738C3" w:rsidRDefault="0047430C" w:rsidP="0055518A">
            <w:pPr>
              <w:pStyle w:val="BodyTextIndent3"/>
              <w:spacing w:after="0"/>
              <w:ind w:left="0"/>
              <w:rPr>
                <w:rFonts w:ascii="Rockwell" w:hAnsi="Rockwell"/>
                <w:sz w:val="22"/>
                <w:szCs w:val="22"/>
              </w:rPr>
            </w:pPr>
          </w:p>
        </w:tc>
        <w:tc>
          <w:tcPr>
            <w:tcW w:w="11028" w:type="dxa"/>
            <w:vAlign w:val="center"/>
          </w:tcPr>
          <w:p w14:paraId="25FB57AD" w14:textId="77777777" w:rsidR="0047430C" w:rsidRPr="00BB4EF8" w:rsidRDefault="0047430C" w:rsidP="0055518A">
            <w:pPr>
              <w:rPr>
                <w:rFonts w:ascii="Rockwell" w:hAnsi="Rockwell"/>
                <w:sz w:val="22"/>
                <w:szCs w:val="22"/>
              </w:rPr>
            </w:pPr>
            <w:r w:rsidRPr="00BB4EF8">
              <w:rPr>
                <w:rFonts w:ascii="Rockwell" w:hAnsi="Rockwell"/>
                <w:sz w:val="22"/>
                <w:szCs w:val="22"/>
              </w:rPr>
              <w:t>Failure of the module in question</w:t>
            </w:r>
          </w:p>
          <w:p w14:paraId="365F418B" w14:textId="77777777" w:rsidR="0047430C" w:rsidRPr="00BB4EF8" w:rsidRDefault="0047430C" w:rsidP="0055518A">
            <w:pPr>
              <w:rPr>
                <w:rFonts w:ascii="Rockwell" w:hAnsi="Rockwell"/>
                <w:sz w:val="22"/>
                <w:szCs w:val="22"/>
              </w:rPr>
            </w:pPr>
            <w:r w:rsidRPr="00BB4EF8">
              <w:rPr>
                <w:rFonts w:ascii="Rockwell" w:hAnsi="Rockwell"/>
                <w:sz w:val="22"/>
                <w:szCs w:val="22"/>
              </w:rPr>
              <w:t xml:space="preserve">(e.g. </w:t>
            </w:r>
            <w:r>
              <w:rPr>
                <w:rFonts w:ascii="Rockwell" w:hAnsi="Rockwell"/>
                <w:sz w:val="22"/>
                <w:szCs w:val="22"/>
              </w:rPr>
              <w:t>0% for the module overall</w:t>
            </w:r>
            <w:r w:rsidRPr="00BB4EF8">
              <w:rPr>
                <w:rFonts w:ascii="Rockwell" w:hAnsi="Rockwell"/>
                <w:sz w:val="22"/>
                <w:szCs w:val="22"/>
              </w:rPr>
              <w:t>)</w:t>
            </w:r>
          </w:p>
          <w:p w14:paraId="7F624616" w14:textId="77777777" w:rsidR="0047430C" w:rsidRPr="00BB4EF8" w:rsidRDefault="0047430C" w:rsidP="0055518A">
            <w:pPr>
              <w:rPr>
                <w:rFonts w:ascii="Rockwell" w:hAnsi="Rockwell"/>
                <w:i/>
                <w:iCs/>
                <w:sz w:val="22"/>
                <w:szCs w:val="22"/>
              </w:rPr>
            </w:pPr>
          </w:p>
          <w:p w14:paraId="7827BCF7" w14:textId="77777777" w:rsidR="0047430C" w:rsidRPr="00BB4EF8" w:rsidRDefault="0047430C" w:rsidP="0055518A">
            <w:pPr>
              <w:rPr>
                <w:rFonts w:ascii="Rockwell" w:hAnsi="Rockwell"/>
                <w:i/>
                <w:iCs/>
                <w:sz w:val="22"/>
                <w:szCs w:val="22"/>
              </w:rPr>
            </w:pPr>
            <w:r w:rsidRPr="00FF33DD">
              <w:rPr>
                <w:rFonts w:ascii="Rockwell" w:hAnsi="Rockwell"/>
                <w:iCs/>
                <w:sz w:val="22"/>
                <w:szCs w:val="22"/>
              </w:rPr>
              <w:t xml:space="preserve">The student may be permitted to </w:t>
            </w:r>
            <w:r w:rsidRPr="00FF33DD">
              <w:rPr>
                <w:rFonts w:ascii="Rockwell" w:hAnsi="Rockwell"/>
                <w:b/>
                <w:iCs/>
                <w:sz w:val="22"/>
                <w:szCs w:val="22"/>
                <w:u w:val="single"/>
              </w:rPr>
              <w:t>retake</w:t>
            </w:r>
            <w:r w:rsidRPr="00FF33DD">
              <w:rPr>
                <w:rFonts w:ascii="Rockwell" w:hAnsi="Rockwell"/>
                <w:b/>
                <w:iCs/>
                <w:sz w:val="22"/>
                <w:szCs w:val="22"/>
                <w:u w:val="single"/>
                <w:vertAlign w:val="superscript"/>
              </w:rPr>
              <w:t>*</w:t>
            </w:r>
            <w:r>
              <w:rPr>
                <w:rFonts w:ascii="Rockwell" w:hAnsi="Rockwell"/>
                <w:b/>
                <w:iCs/>
                <w:sz w:val="22"/>
                <w:szCs w:val="22"/>
                <w:u w:val="single"/>
                <w:vertAlign w:val="superscript"/>
              </w:rPr>
              <w:t xml:space="preserve"> </w:t>
            </w:r>
            <w:r w:rsidRPr="00F50A41">
              <w:rPr>
                <w:rFonts w:ascii="Rockwell" w:hAnsi="Rockwell"/>
                <w:sz w:val="22"/>
                <w:szCs w:val="22"/>
                <w:vertAlign w:val="superscript"/>
              </w:rPr>
              <w:t>†</w:t>
            </w:r>
            <w:r>
              <w:rPr>
                <w:rFonts w:ascii="Rockwell" w:hAnsi="Rockwell"/>
                <w:sz w:val="22"/>
                <w:szCs w:val="22"/>
                <w:vertAlign w:val="superscript"/>
              </w:rPr>
              <w:t xml:space="preserve"> </w:t>
            </w:r>
            <w:r w:rsidRPr="00FF33DD">
              <w:rPr>
                <w:rFonts w:ascii="Rockwell" w:hAnsi="Rockwell"/>
                <w:iCs/>
                <w:sz w:val="22"/>
                <w:szCs w:val="22"/>
              </w:rPr>
              <w:t>the module but</w:t>
            </w:r>
            <w:r>
              <w:rPr>
                <w:rFonts w:ascii="Rockwell" w:hAnsi="Rockwell"/>
                <w:iCs/>
                <w:sz w:val="22"/>
                <w:szCs w:val="22"/>
              </w:rPr>
              <w:t xml:space="preserve"> the overall grade</w:t>
            </w:r>
            <w:r w:rsidRPr="00FF33DD">
              <w:rPr>
                <w:rFonts w:ascii="Rockwell" w:hAnsi="Rockwell"/>
                <w:iCs/>
                <w:sz w:val="22"/>
                <w:szCs w:val="22"/>
              </w:rPr>
              <w:t xml:space="preserve"> will be </w:t>
            </w:r>
            <w:r>
              <w:rPr>
                <w:rFonts w:ascii="Rockwell" w:hAnsi="Rockwell"/>
                <w:iCs/>
                <w:sz w:val="22"/>
                <w:szCs w:val="22"/>
              </w:rPr>
              <w:t>r</w:t>
            </w:r>
            <w:r w:rsidRPr="00FF33DD">
              <w:rPr>
                <w:rFonts w:ascii="Rockwell" w:hAnsi="Rockwell"/>
                <w:iCs/>
                <w:sz w:val="22"/>
                <w:szCs w:val="22"/>
              </w:rPr>
              <w:t xml:space="preserve">estricted to a </w:t>
            </w:r>
            <w:r>
              <w:rPr>
                <w:rFonts w:ascii="Rockwell" w:hAnsi="Rockwell"/>
                <w:iCs/>
                <w:sz w:val="22"/>
                <w:szCs w:val="22"/>
              </w:rPr>
              <w:t xml:space="preserve">minimum pass e.g 40%. </w:t>
            </w:r>
          </w:p>
        </w:tc>
      </w:tr>
      <w:tr w:rsidR="0047430C" w14:paraId="2772FA10" w14:textId="77777777" w:rsidTr="0055518A">
        <w:trPr>
          <w:trHeight w:val="387"/>
        </w:trPr>
        <w:tc>
          <w:tcPr>
            <w:tcW w:w="4140" w:type="dxa"/>
            <w:vAlign w:val="center"/>
          </w:tcPr>
          <w:p w14:paraId="56F7F629" w14:textId="77777777" w:rsidR="0047430C" w:rsidRPr="00C738C3" w:rsidRDefault="0047430C" w:rsidP="0055518A">
            <w:pPr>
              <w:pStyle w:val="BodyTextIndent3"/>
              <w:spacing w:after="0"/>
              <w:ind w:left="0"/>
              <w:rPr>
                <w:rFonts w:ascii="Rockwell" w:hAnsi="Rockwell"/>
                <w:bCs/>
                <w:sz w:val="22"/>
                <w:szCs w:val="22"/>
              </w:rPr>
            </w:pPr>
            <w:r w:rsidRPr="00C738C3">
              <w:rPr>
                <w:rFonts w:ascii="Rockwell" w:hAnsi="Rockwell"/>
                <w:sz w:val="22"/>
                <w:szCs w:val="22"/>
              </w:rPr>
              <w:t xml:space="preserve">Second Serious Offence </w:t>
            </w:r>
          </w:p>
        </w:tc>
        <w:tc>
          <w:tcPr>
            <w:tcW w:w="11028" w:type="dxa"/>
            <w:vAlign w:val="center"/>
          </w:tcPr>
          <w:p w14:paraId="01AB65F4" w14:textId="77777777" w:rsidR="0047430C" w:rsidRPr="003B4309" w:rsidRDefault="0047430C" w:rsidP="0055518A">
            <w:pPr>
              <w:rPr>
                <w:rFonts w:ascii="Rockwell" w:hAnsi="Rockwell"/>
                <w:sz w:val="22"/>
                <w:szCs w:val="22"/>
              </w:rPr>
            </w:pPr>
            <w:r w:rsidRPr="003B4309">
              <w:rPr>
                <w:rFonts w:ascii="Rockwell" w:hAnsi="Rockwell"/>
                <w:sz w:val="22"/>
                <w:szCs w:val="22"/>
              </w:rPr>
              <w:t>Exclusion from the University</w:t>
            </w:r>
            <w:r w:rsidRPr="00DD25E5">
              <w:rPr>
                <w:rFonts w:ascii="Rockwell" w:hAnsi="Rockwell"/>
                <w:sz w:val="22"/>
                <w:szCs w:val="22"/>
                <w:vertAlign w:val="superscript"/>
              </w:rPr>
              <w:t>‡</w:t>
            </w:r>
            <w:r w:rsidRPr="003B4309">
              <w:rPr>
                <w:rFonts w:ascii="Rockwell" w:hAnsi="Rockwell"/>
                <w:sz w:val="22"/>
                <w:szCs w:val="22"/>
              </w:rPr>
              <w:t xml:space="preserve">. </w:t>
            </w:r>
          </w:p>
        </w:tc>
      </w:tr>
    </w:tbl>
    <w:p w14:paraId="00F0090B" w14:textId="77777777" w:rsidR="0047430C" w:rsidRDefault="0047430C" w:rsidP="0047430C"/>
    <w:p w14:paraId="13978B38" w14:textId="77777777" w:rsidR="0047430C" w:rsidRDefault="0047430C" w:rsidP="0047430C"/>
    <w:p w14:paraId="37C49ADE" w14:textId="77777777" w:rsidR="0047430C" w:rsidRDefault="0047430C" w:rsidP="0047430C"/>
    <w:p w14:paraId="0C760C7B" w14:textId="77777777" w:rsidR="0047430C" w:rsidRDefault="0047430C" w:rsidP="0047430C"/>
    <w:p w14:paraId="27C993F7" w14:textId="77777777" w:rsidR="0047430C" w:rsidRDefault="0047430C" w:rsidP="0047430C"/>
    <w:p w14:paraId="7B3E36EE" w14:textId="77777777" w:rsidR="0047430C" w:rsidRDefault="0047430C" w:rsidP="0047430C"/>
    <w:p w14:paraId="1CCE3E40" w14:textId="77777777" w:rsidR="0047430C" w:rsidRDefault="0047430C" w:rsidP="0047430C"/>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1028"/>
      </w:tblGrid>
      <w:tr w:rsidR="0047430C" w14:paraId="680B9D8C" w14:textId="77777777" w:rsidTr="0055518A">
        <w:trPr>
          <w:trHeight w:val="509"/>
        </w:trPr>
        <w:tc>
          <w:tcPr>
            <w:tcW w:w="15168" w:type="dxa"/>
            <w:gridSpan w:val="2"/>
            <w:vAlign w:val="center"/>
          </w:tcPr>
          <w:p w14:paraId="2F36E568" w14:textId="77777777" w:rsidR="0047430C" w:rsidRPr="00FD2EB7" w:rsidRDefault="0047430C" w:rsidP="0055518A">
            <w:pPr>
              <w:rPr>
                <w:rFonts w:ascii="Rockwell" w:hAnsi="Rockwell"/>
                <w:b/>
                <w:sz w:val="22"/>
                <w:szCs w:val="22"/>
              </w:rPr>
            </w:pPr>
            <w:r w:rsidRPr="00C738C3">
              <w:rPr>
                <w:rFonts w:ascii="Rockwell" w:hAnsi="Rockwell"/>
                <w:b/>
                <w:sz w:val="22"/>
                <w:szCs w:val="22"/>
              </w:rPr>
              <w:lastRenderedPageBreak/>
              <w:t>Postgraduate</w:t>
            </w:r>
          </w:p>
        </w:tc>
      </w:tr>
      <w:tr w:rsidR="0047430C" w14:paraId="1D82E44F" w14:textId="77777777" w:rsidTr="0055518A">
        <w:tc>
          <w:tcPr>
            <w:tcW w:w="4140" w:type="dxa"/>
            <w:vAlign w:val="center"/>
          </w:tcPr>
          <w:p w14:paraId="20A7EABD" w14:textId="77777777" w:rsidR="0047430C" w:rsidRPr="003B4309" w:rsidRDefault="0047430C" w:rsidP="0055518A">
            <w:pPr>
              <w:pStyle w:val="BodyTextIndent3"/>
              <w:spacing w:after="0"/>
              <w:ind w:left="0"/>
              <w:rPr>
                <w:rFonts w:ascii="Rockwell" w:hAnsi="Rockwell"/>
                <w:b/>
                <w:bCs/>
                <w:sz w:val="22"/>
                <w:szCs w:val="22"/>
              </w:rPr>
            </w:pPr>
            <w:r>
              <w:rPr>
                <w:rFonts w:ascii="Rockwell" w:hAnsi="Rockwell"/>
                <w:sz w:val="22"/>
                <w:szCs w:val="22"/>
              </w:rPr>
              <w:t xml:space="preserve">First </w:t>
            </w:r>
            <w:r w:rsidRPr="003B4309">
              <w:rPr>
                <w:rFonts w:ascii="Rockwell" w:hAnsi="Rockwell"/>
                <w:sz w:val="22"/>
                <w:szCs w:val="22"/>
              </w:rPr>
              <w:t>Serious Offence</w:t>
            </w:r>
            <w:r w:rsidRPr="003B4309">
              <w:rPr>
                <w:rFonts w:ascii="Rockwell" w:hAnsi="Rockwell"/>
                <w:b/>
                <w:bCs/>
                <w:sz w:val="22"/>
                <w:szCs w:val="22"/>
              </w:rPr>
              <w:t xml:space="preserve"> </w:t>
            </w:r>
          </w:p>
        </w:tc>
        <w:tc>
          <w:tcPr>
            <w:tcW w:w="11028" w:type="dxa"/>
            <w:vAlign w:val="center"/>
          </w:tcPr>
          <w:p w14:paraId="64E51732" w14:textId="77777777" w:rsidR="0047430C" w:rsidRPr="00BB4EF8" w:rsidRDefault="0047430C" w:rsidP="0055518A">
            <w:pPr>
              <w:rPr>
                <w:rFonts w:ascii="Rockwell" w:hAnsi="Rockwell"/>
                <w:sz w:val="22"/>
                <w:szCs w:val="22"/>
              </w:rPr>
            </w:pPr>
            <w:r w:rsidRPr="00BB4EF8">
              <w:rPr>
                <w:rFonts w:ascii="Rockwell" w:hAnsi="Rockwell"/>
                <w:sz w:val="22"/>
                <w:szCs w:val="22"/>
              </w:rPr>
              <w:t>Failure of the module in question</w:t>
            </w:r>
          </w:p>
          <w:p w14:paraId="43B7BE64" w14:textId="77777777" w:rsidR="0047430C" w:rsidRPr="00BB4EF8" w:rsidRDefault="0047430C" w:rsidP="0055518A">
            <w:pPr>
              <w:rPr>
                <w:rFonts w:ascii="Rockwell" w:hAnsi="Rockwell"/>
                <w:sz w:val="22"/>
                <w:szCs w:val="22"/>
              </w:rPr>
            </w:pPr>
            <w:r w:rsidRPr="00BB4EF8">
              <w:rPr>
                <w:rFonts w:ascii="Rockwell" w:hAnsi="Rockwell"/>
                <w:sz w:val="22"/>
                <w:szCs w:val="22"/>
              </w:rPr>
              <w:t xml:space="preserve">(e.g. </w:t>
            </w:r>
            <w:r>
              <w:rPr>
                <w:rFonts w:ascii="Rockwell" w:hAnsi="Rockwell"/>
                <w:sz w:val="22"/>
                <w:szCs w:val="22"/>
              </w:rPr>
              <w:t>0% for the module overall</w:t>
            </w:r>
            <w:r w:rsidRPr="00BB4EF8">
              <w:rPr>
                <w:rFonts w:ascii="Rockwell" w:hAnsi="Rockwell"/>
                <w:sz w:val="22"/>
                <w:szCs w:val="22"/>
              </w:rPr>
              <w:t>)</w:t>
            </w:r>
          </w:p>
          <w:p w14:paraId="7B0FEB60" w14:textId="77777777" w:rsidR="0047430C" w:rsidRPr="00BB4EF8" w:rsidRDefault="0047430C" w:rsidP="0055518A">
            <w:pPr>
              <w:rPr>
                <w:rFonts w:ascii="Rockwell" w:hAnsi="Rockwell"/>
                <w:i/>
                <w:iCs/>
                <w:sz w:val="22"/>
                <w:szCs w:val="22"/>
              </w:rPr>
            </w:pPr>
          </w:p>
          <w:p w14:paraId="2CC5B50B" w14:textId="77777777" w:rsidR="0047430C" w:rsidRDefault="0047430C" w:rsidP="0055518A">
            <w:pPr>
              <w:rPr>
                <w:rFonts w:ascii="Rockwell" w:hAnsi="Rockwell"/>
                <w:iCs/>
                <w:sz w:val="22"/>
                <w:szCs w:val="22"/>
              </w:rPr>
            </w:pPr>
            <w:r w:rsidRPr="00FF33DD">
              <w:rPr>
                <w:rFonts w:ascii="Rockwell" w:hAnsi="Rockwell"/>
                <w:iCs/>
                <w:sz w:val="22"/>
                <w:szCs w:val="22"/>
              </w:rPr>
              <w:t xml:space="preserve">The student may be permitted to </w:t>
            </w:r>
            <w:r w:rsidRPr="00FF33DD">
              <w:rPr>
                <w:rFonts w:ascii="Rockwell" w:hAnsi="Rockwell"/>
                <w:b/>
                <w:iCs/>
                <w:sz w:val="22"/>
                <w:szCs w:val="22"/>
                <w:u w:val="single"/>
              </w:rPr>
              <w:t>retake</w:t>
            </w:r>
            <w:r w:rsidRPr="00FF33DD">
              <w:rPr>
                <w:rFonts w:ascii="Rockwell" w:hAnsi="Rockwell"/>
                <w:b/>
                <w:iCs/>
                <w:sz w:val="22"/>
                <w:szCs w:val="22"/>
                <w:u w:val="single"/>
                <w:vertAlign w:val="superscript"/>
              </w:rPr>
              <w:t>*</w:t>
            </w:r>
            <w:r>
              <w:rPr>
                <w:rFonts w:ascii="Rockwell" w:hAnsi="Rockwell"/>
                <w:b/>
                <w:iCs/>
                <w:sz w:val="22"/>
                <w:szCs w:val="22"/>
                <w:u w:val="single"/>
                <w:vertAlign w:val="superscript"/>
              </w:rPr>
              <w:t xml:space="preserve"> </w:t>
            </w:r>
            <w:r w:rsidRPr="00F50A41">
              <w:rPr>
                <w:rFonts w:ascii="Rockwell" w:hAnsi="Rockwell"/>
                <w:sz w:val="22"/>
                <w:szCs w:val="22"/>
                <w:vertAlign w:val="superscript"/>
              </w:rPr>
              <w:t>†</w:t>
            </w:r>
            <w:r>
              <w:rPr>
                <w:rFonts w:ascii="Rockwell" w:hAnsi="Rockwell"/>
                <w:sz w:val="22"/>
                <w:szCs w:val="22"/>
                <w:vertAlign w:val="superscript"/>
              </w:rPr>
              <w:t xml:space="preserve"> </w:t>
            </w:r>
            <w:r w:rsidRPr="00FF33DD">
              <w:rPr>
                <w:rFonts w:ascii="Rockwell" w:hAnsi="Rockwell"/>
                <w:iCs/>
                <w:sz w:val="22"/>
                <w:szCs w:val="22"/>
              </w:rPr>
              <w:t>the module but</w:t>
            </w:r>
            <w:r>
              <w:rPr>
                <w:rFonts w:ascii="Rockwell" w:hAnsi="Rockwell"/>
                <w:iCs/>
                <w:sz w:val="22"/>
                <w:szCs w:val="22"/>
              </w:rPr>
              <w:t xml:space="preserve"> the overall grade</w:t>
            </w:r>
            <w:r w:rsidRPr="00FF33DD">
              <w:rPr>
                <w:rFonts w:ascii="Rockwell" w:hAnsi="Rockwell"/>
                <w:iCs/>
                <w:sz w:val="22"/>
                <w:szCs w:val="22"/>
              </w:rPr>
              <w:t xml:space="preserve"> will be </w:t>
            </w:r>
            <w:r>
              <w:rPr>
                <w:rFonts w:ascii="Rockwell" w:hAnsi="Rockwell"/>
                <w:iCs/>
                <w:sz w:val="22"/>
                <w:szCs w:val="22"/>
              </w:rPr>
              <w:t>r</w:t>
            </w:r>
            <w:r w:rsidRPr="00FF33DD">
              <w:rPr>
                <w:rFonts w:ascii="Rockwell" w:hAnsi="Rockwell"/>
                <w:iCs/>
                <w:sz w:val="22"/>
                <w:szCs w:val="22"/>
              </w:rPr>
              <w:t xml:space="preserve">estricted to a </w:t>
            </w:r>
            <w:r>
              <w:rPr>
                <w:rFonts w:ascii="Rockwell" w:hAnsi="Rockwell"/>
                <w:iCs/>
                <w:sz w:val="22"/>
                <w:szCs w:val="22"/>
              </w:rPr>
              <w:t>minimum pass e.g 50%.</w:t>
            </w:r>
          </w:p>
          <w:p w14:paraId="37BF2184" w14:textId="77777777" w:rsidR="0047430C" w:rsidRDefault="0047430C" w:rsidP="0055518A">
            <w:pPr>
              <w:rPr>
                <w:rFonts w:ascii="Rockwell" w:hAnsi="Rockwell"/>
                <w:iCs/>
                <w:sz w:val="22"/>
                <w:szCs w:val="22"/>
              </w:rPr>
            </w:pPr>
          </w:p>
          <w:p w14:paraId="3A759979" w14:textId="77777777" w:rsidR="0047430C" w:rsidRPr="004F387A" w:rsidRDefault="0047430C" w:rsidP="0055518A">
            <w:pPr>
              <w:rPr>
                <w:rFonts w:ascii="Rockwell" w:hAnsi="Rockwell"/>
                <w:b/>
                <w:iCs/>
                <w:sz w:val="22"/>
                <w:szCs w:val="22"/>
              </w:rPr>
            </w:pPr>
            <w:r w:rsidRPr="004F387A">
              <w:rPr>
                <w:rFonts w:ascii="Rockwell" w:hAnsi="Rockwell"/>
                <w:b/>
                <w:iCs/>
                <w:sz w:val="22"/>
                <w:szCs w:val="22"/>
              </w:rPr>
              <w:t xml:space="preserve">Or </w:t>
            </w:r>
          </w:p>
          <w:p w14:paraId="4C8D8C9A" w14:textId="77777777" w:rsidR="0047430C" w:rsidRDefault="0047430C" w:rsidP="0055518A">
            <w:pPr>
              <w:rPr>
                <w:rFonts w:ascii="Rockwell" w:hAnsi="Rockwell"/>
                <w:iCs/>
                <w:sz w:val="22"/>
                <w:szCs w:val="22"/>
              </w:rPr>
            </w:pPr>
          </w:p>
          <w:p w14:paraId="6D57BB05" w14:textId="77777777" w:rsidR="0047430C" w:rsidRPr="0016174D" w:rsidRDefault="0047430C" w:rsidP="0055518A">
            <w:pPr>
              <w:rPr>
                <w:rFonts w:ascii="Rockwell" w:hAnsi="Rockwell"/>
                <w:sz w:val="22"/>
                <w:szCs w:val="22"/>
              </w:rPr>
            </w:pPr>
            <w:r>
              <w:rPr>
                <w:rFonts w:ascii="Rockwell" w:hAnsi="Rockwell"/>
                <w:sz w:val="22"/>
                <w:szCs w:val="22"/>
              </w:rPr>
              <w:t>Exclusion from the University</w:t>
            </w:r>
            <w:r w:rsidRPr="0016174D">
              <w:rPr>
                <w:rFonts w:ascii="Rockwell" w:hAnsi="Rockwell"/>
                <w:sz w:val="22"/>
                <w:szCs w:val="22"/>
                <w:vertAlign w:val="superscript"/>
              </w:rPr>
              <w:t xml:space="preserve"> </w:t>
            </w:r>
            <w:r w:rsidRPr="009E2FD6">
              <w:rPr>
                <w:rFonts w:ascii="Rockwell" w:hAnsi="Rockwell"/>
                <w:sz w:val="22"/>
                <w:szCs w:val="22"/>
              </w:rPr>
              <w:t>where there is evidence of deliberate premeditated cheating</w:t>
            </w:r>
            <w:r w:rsidRPr="00DD25E5">
              <w:rPr>
                <w:rFonts w:ascii="Rockwell" w:hAnsi="Rockwell"/>
                <w:sz w:val="22"/>
                <w:szCs w:val="22"/>
                <w:vertAlign w:val="superscript"/>
              </w:rPr>
              <w:t>‡</w:t>
            </w:r>
            <w:r w:rsidRPr="0016174D">
              <w:rPr>
                <w:rFonts w:ascii="Rockwell" w:hAnsi="Rockwell"/>
                <w:sz w:val="22"/>
                <w:szCs w:val="22"/>
              </w:rPr>
              <w:t xml:space="preserve">. </w:t>
            </w:r>
          </w:p>
          <w:p w14:paraId="59AEAF2B" w14:textId="77777777" w:rsidR="0047430C" w:rsidRPr="003B4309" w:rsidRDefault="0047430C" w:rsidP="0055518A">
            <w:pPr>
              <w:rPr>
                <w:rFonts w:ascii="Rockwell" w:hAnsi="Rockwell"/>
                <w:sz w:val="22"/>
                <w:szCs w:val="22"/>
              </w:rPr>
            </w:pPr>
          </w:p>
        </w:tc>
      </w:tr>
      <w:tr w:rsidR="0047430C" w14:paraId="0C0A33B9" w14:textId="77777777" w:rsidTr="0055518A">
        <w:trPr>
          <w:trHeight w:val="416"/>
        </w:trPr>
        <w:tc>
          <w:tcPr>
            <w:tcW w:w="4140" w:type="dxa"/>
            <w:vAlign w:val="center"/>
          </w:tcPr>
          <w:p w14:paraId="417D5C74" w14:textId="77777777" w:rsidR="0047430C" w:rsidRPr="00C738C3" w:rsidRDefault="0047430C" w:rsidP="0055518A">
            <w:pPr>
              <w:pStyle w:val="BodyTextIndent3"/>
              <w:spacing w:after="0"/>
              <w:ind w:left="0"/>
              <w:rPr>
                <w:rFonts w:ascii="Rockwell" w:hAnsi="Rockwell"/>
                <w:bCs/>
                <w:sz w:val="22"/>
                <w:szCs w:val="22"/>
              </w:rPr>
            </w:pPr>
            <w:r w:rsidRPr="00C738C3">
              <w:rPr>
                <w:rFonts w:ascii="Rockwell" w:hAnsi="Rockwell"/>
                <w:sz w:val="22"/>
                <w:szCs w:val="22"/>
              </w:rPr>
              <w:t xml:space="preserve">Second Serious Offence </w:t>
            </w:r>
          </w:p>
        </w:tc>
        <w:tc>
          <w:tcPr>
            <w:tcW w:w="11028" w:type="dxa"/>
            <w:vAlign w:val="center"/>
          </w:tcPr>
          <w:p w14:paraId="01509900" w14:textId="77777777" w:rsidR="0047430C" w:rsidRPr="003B4309" w:rsidRDefault="0047430C" w:rsidP="0055518A">
            <w:pPr>
              <w:rPr>
                <w:rFonts w:ascii="Rockwell" w:hAnsi="Rockwell"/>
                <w:sz w:val="22"/>
                <w:szCs w:val="22"/>
              </w:rPr>
            </w:pPr>
            <w:r w:rsidRPr="003B4309">
              <w:rPr>
                <w:rFonts w:ascii="Rockwell" w:hAnsi="Rockwell"/>
                <w:sz w:val="22"/>
                <w:szCs w:val="22"/>
              </w:rPr>
              <w:t>Exclusion from the University</w:t>
            </w:r>
            <w:r w:rsidRPr="00DD25E5">
              <w:rPr>
                <w:rFonts w:ascii="Rockwell" w:hAnsi="Rockwell"/>
                <w:sz w:val="22"/>
                <w:szCs w:val="22"/>
                <w:vertAlign w:val="superscript"/>
              </w:rPr>
              <w:t>‡</w:t>
            </w:r>
            <w:r w:rsidRPr="003B4309">
              <w:rPr>
                <w:rFonts w:ascii="Rockwell" w:hAnsi="Rockwell"/>
                <w:sz w:val="22"/>
                <w:szCs w:val="22"/>
              </w:rPr>
              <w:t xml:space="preserve">. </w:t>
            </w:r>
          </w:p>
        </w:tc>
      </w:tr>
      <w:tr w:rsidR="0047430C" w14:paraId="043EFE74" w14:textId="77777777" w:rsidTr="0055518A">
        <w:tc>
          <w:tcPr>
            <w:tcW w:w="15168" w:type="dxa"/>
            <w:gridSpan w:val="2"/>
          </w:tcPr>
          <w:p w14:paraId="7E6F05D0" w14:textId="77777777" w:rsidR="0047430C" w:rsidRDefault="0047430C" w:rsidP="0055518A">
            <w:pPr>
              <w:jc w:val="both"/>
              <w:rPr>
                <w:rFonts w:ascii="Rockwell" w:hAnsi="Rockwell"/>
                <w:sz w:val="20"/>
                <w:szCs w:val="20"/>
              </w:rPr>
            </w:pPr>
          </w:p>
        </w:tc>
      </w:tr>
      <w:tr w:rsidR="0047430C" w14:paraId="4753753D" w14:textId="77777777" w:rsidTr="0055518A">
        <w:tc>
          <w:tcPr>
            <w:tcW w:w="15168" w:type="dxa"/>
            <w:gridSpan w:val="2"/>
          </w:tcPr>
          <w:p w14:paraId="7FB46A00" w14:textId="77777777" w:rsidR="0047430C" w:rsidRDefault="0047430C" w:rsidP="0055518A">
            <w:pPr>
              <w:jc w:val="both"/>
              <w:rPr>
                <w:rFonts w:ascii="Rockwell" w:hAnsi="Rockwell"/>
                <w:sz w:val="20"/>
                <w:szCs w:val="20"/>
              </w:rPr>
            </w:pPr>
            <w:r>
              <w:rPr>
                <w:rFonts w:ascii="Rockwell" w:hAnsi="Rockwell"/>
                <w:sz w:val="20"/>
                <w:szCs w:val="20"/>
              </w:rPr>
              <w:t xml:space="preserve">* </w:t>
            </w:r>
            <w:r w:rsidRPr="00F50A41">
              <w:rPr>
                <w:rFonts w:ascii="Rockwell" w:hAnsi="Rockwell"/>
                <w:sz w:val="20"/>
                <w:szCs w:val="20"/>
              </w:rPr>
              <w:t xml:space="preserve">Resits and retakes </w:t>
            </w:r>
            <w:r>
              <w:rPr>
                <w:rFonts w:ascii="Rockwell" w:hAnsi="Rockwell"/>
                <w:sz w:val="20"/>
                <w:szCs w:val="20"/>
              </w:rPr>
              <w:t xml:space="preserve">may only be taken </w:t>
            </w:r>
            <w:r>
              <w:rPr>
                <w:rFonts w:ascii="Rockwell" w:hAnsi="Rockwell"/>
                <w:iCs/>
                <w:sz w:val="20"/>
                <w:szCs w:val="20"/>
              </w:rPr>
              <w:t>where permitted within</w:t>
            </w:r>
            <w:r w:rsidRPr="00F50A41">
              <w:rPr>
                <w:rFonts w:ascii="Rockwell" w:hAnsi="Rockwell"/>
                <w:iCs/>
                <w:sz w:val="20"/>
                <w:szCs w:val="20"/>
              </w:rPr>
              <w:t xml:space="preserve"> University Academic regulations and</w:t>
            </w:r>
            <w:r>
              <w:rPr>
                <w:rFonts w:ascii="Rockwell" w:hAnsi="Rockwell"/>
                <w:iCs/>
                <w:sz w:val="20"/>
                <w:szCs w:val="20"/>
              </w:rPr>
              <w:t>/or</w:t>
            </w:r>
            <w:r w:rsidRPr="00F50A41">
              <w:rPr>
                <w:rFonts w:ascii="Rockwell" w:hAnsi="Rockwell"/>
                <w:iCs/>
                <w:sz w:val="20"/>
                <w:szCs w:val="20"/>
              </w:rPr>
              <w:t xml:space="preserve"> Professional Body requirements</w:t>
            </w:r>
            <w:r>
              <w:rPr>
                <w:rFonts w:ascii="Rockwell" w:hAnsi="Rockwell"/>
                <w:iCs/>
                <w:sz w:val="20"/>
                <w:szCs w:val="20"/>
              </w:rPr>
              <w:t>.</w:t>
            </w:r>
          </w:p>
        </w:tc>
      </w:tr>
      <w:tr w:rsidR="0047430C" w14:paraId="20C25C5C" w14:textId="77777777" w:rsidTr="0055518A">
        <w:tc>
          <w:tcPr>
            <w:tcW w:w="15168" w:type="dxa"/>
            <w:gridSpan w:val="2"/>
          </w:tcPr>
          <w:p w14:paraId="67C58D15" w14:textId="77777777" w:rsidR="0047430C" w:rsidRPr="003B4309" w:rsidRDefault="0047430C" w:rsidP="0055518A">
            <w:pPr>
              <w:jc w:val="both"/>
              <w:rPr>
                <w:rFonts w:ascii="Rockwell" w:hAnsi="Rockwell"/>
                <w:sz w:val="20"/>
                <w:szCs w:val="20"/>
              </w:rPr>
            </w:pPr>
            <w:r>
              <w:rPr>
                <w:rFonts w:ascii="Rockwell" w:hAnsi="Rockwell"/>
                <w:sz w:val="20"/>
                <w:szCs w:val="20"/>
              </w:rPr>
              <w:t>† The University will normally apply a charge for a retake module at its applicable rate per credit</w:t>
            </w:r>
          </w:p>
        </w:tc>
      </w:tr>
      <w:tr w:rsidR="0047430C" w14:paraId="414B9CB8" w14:textId="77777777" w:rsidTr="0055518A">
        <w:tc>
          <w:tcPr>
            <w:tcW w:w="15168" w:type="dxa"/>
            <w:gridSpan w:val="2"/>
          </w:tcPr>
          <w:p w14:paraId="5B5E0751" w14:textId="77777777" w:rsidR="0047430C" w:rsidRPr="003B4309" w:rsidRDefault="0047430C" w:rsidP="0055518A">
            <w:pPr>
              <w:jc w:val="both"/>
              <w:rPr>
                <w:rFonts w:ascii="Rockwell" w:hAnsi="Rockwell"/>
                <w:sz w:val="20"/>
                <w:szCs w:val="20"/>
              </w:rPr>
            </w:pPr>
            <w:r w:rsidRPr="00DD25E5">
              <w:rPr>
                <w:rFonts w:ascii="Rockwell" w:hAnsi="Rockwell"/>
                <w:sz w:val="20"/>
                <w:szCs w:val="20"/>
              </w:rPr>
              <w:t>‡</w:t>
            </w:r>
            <w:r>
              <w:rPr>
                <w:rFonts w:ascii="Rockwell" w:hAnsi="Rockwell"/>
                <w:sz w:val="22"/>
                <w:szCs w:val="22"/>
                <w:vertAlign w:val="superscript"/>
              </w:rPr>
              <w:t xml:space="preserve"> </w:t>
            </w:r>
            <w:r>
              <w:rPr>
                <w:rFonts w:ascii="Rockwell" w:hAnsi="Rockwell"/>
                <w:sz w:val="20"/>
                <w:szCs w:val="20"/>
              </w:rPr>
              <w:t>I</w:t>
            </w:r>
            <w:r w:rsidRPr="003B4309">
              <w:rPr>
                <w:rFonts w:ascii="Rockwell" w:hAnsi="Rockwell"/>
                <w:sz w:val="20"/>
                <w:szCs w:val="20"/>
              </w:rPr>
              <w:t xml:space="preserve">n cases of exclusion from the University the student would receive the award to which they were entitled at the time the exclusion </w:t>
            </w:r>
            <w:r>
              <w:rPr>
                <w:rFonts w:ascii="Rockwell" w:hAnsi="Rockwell"/>
                <w:sz w:val="20"/>
                <w:szCs w:val="20"/>
              </w:rPr>
              <w:t>was</w:t>
            </w:r>
            <w:r w:rsidRPr="003B4309">
              <w:rPr>
                <w:rFonts w:ascii="Rockwell" w:hAnsi="Rockwell"/>
                <w:sz w:val="20"/>
                <w:szCs w:val="20"/>
              </w:rPr>
              <w:t xml:space="preserve"> imposed.</w:t>
            </w:r>
          </w:p>
        </w:tc>
      </w:tr>
    </w:tbl>
    <w:p w14:paraId="0CC82713" w14:textId="77777777" w:rsidR="0047430C" w:rsidRPr="00741094" w:rsidRDefault="0047430C" w:rsidP="0047430C">
      <w:pPr>
        <w:pStyle w:val="BodyText"/>
        <w:jc w:val="both"/>
        <w:rPr>
          <w:rFonts w:ascii="Rockwell" w:hAnsi="Rockwell"/>
          <w:iCs/>
        </w:rPr>
      </w:pPr>
    </w:p>
    <w:p w14:paraId="758FAA6A" w14:textId="77777777" w:rsidR="0047430C" w:rsidRPr="00CE72CB" w:rsidRDefault="0047430C" w:rsidP="0047430C">
      <w:pPr>
        <w:jc w:val="both"/>
        <w:rPr>
          <w:rFonts w:ascii="Rockwell" w:hAnsi="Rockwell"/>
          <w:b/>
          <w:bCs/>
          <w:sz w:val="22"/>
          <w:szCs w:val="22"/>
          <w:u w:val="single"/>
        </w:rPr>
      </w:pPr>
      <w:r w:rsidRPr="00CE72CB">
        <w:rPr>
          <w:rFonts w:ascii="Rockwell" w:hAnsi="Rockwell"/>
          <w:b/>
          <w:bCs/>
          <w:sz w:val="22"/>
          <w:szCs w:val="22"/>
          <w:u w:val="single"/>
        </w:rPr>
        <w:t>Associated documents:</w:t>
      </w:r>
    </w:p>
    <w:p w14:paraId="23898C49" w14:textId="77777777" w:rsidR="0047430C" w:rsidRDefault="0047430C" w:rsidP="0047430C">
      <w:pPr>
        <w:numPr>
          <w:ilvl w:val="0"/>
          <w:numId w:val="19"/>
        </w:numPr>
        <w:jc w:val="both"/>
        <w:rPr>
          <w:rFonts w:ascii="Rockwell" w:hAnsi="Rockwell"/>
          <w:sz w:val="22"/>
          <w:szCs w:val="22"/>
        </w:rPr>
      </w:pPr>
      <w:r w:rsidRPr="00CE72CB">
        <w:rPr>
          <w:rFonts w:ascii="Rockwell" w:hAnsi="Rockwell"/>
          <w:sz w:val="22"/>
          <w:szCs w:val="22"/>
        </w:rPr>
        <w:t>University of Wolverhampton Policy on tackling academic misconduct</w:t>
      </w:r>
      <w:r>
        <w:rPr>
          <w:rFonts w:ascii="Rockwell" w:hAnsi="Rockwell"/>
          <w:sz w:val="22"/>
          <w:szCs w:val="22"/>
        </w:rPr>
        <w:t xml:space="preserve"> – available at </w:t>
      </w:r>
      <w:hyperlink r:id="rId25" w:history="1">
        <w:r w:rsidRPr="00091FAB">
          <w:rPr>
            <w:rStyle w:val="Hyperlink"/>
            <w:rFonts w:ascii="Rockwell" w:hAnsi="Rockwell"/>
            <w:sz w:val="22"/>
            <w:szCs w:val="22"/>
          </w:rPr>
          <w:t>www.wlv.ac.uk/polsregs</w:t>
        </w:r>
      </w:hyperlink>
      <w:r>
        <w:rPr>
          <w:rFonts w:ascii="Rockwell" w:hAnsi="Rockwell"/>
          <w:sz w:val="22"/>
          <w:szCs w:val="22"/>
        </w:rPr>
        <w:t xml:space="preserve"> </w:t>
      </w:r>
    </w:p>
    <w:p w14:paraId="6ED79606" w14:textId="77777777" w:rsidR="0047430C" w:rsidRPr="00D47E90" w:rsidRDefault="0047430C" w:rsidP="0047430C">
      <w:pPr>
        <w:pStyle w:val="ListParagraph"/>
        <w:numPr>
          <w:ilvl w:val="0"/>
          <w:numId w:val="19"/>
        </w:numPr>
        <w:jc w:val="both"/>
        <w:rPr>
          <w:rFonts w:ascii="Rockwell" w:hAnsi="Rockwell"/>
          <w:sz w:val="22"/>
          <w:szCs w:val="22"/>
        </w:rPr>
      </w:pPr>
      <w:r w:rsidRPr="00D47E90">
        <w:rPr>
          <w:rFonts w:ascii="Rockwell" w:hAnsi="Rockwell"/>
          <w:sz w:val="22"/>
          <w:szCs w:val="22"/>
        </w:rPr>
        <w:t>Procedure for the Management of a Viva in Cases of Suspected Academic Misconduct (</w:t>
      </w:r>
      <w:r>
        <w:rPr>
          <w:rFonts w:ascii="Rockwell" w:hAnsi="Rockwell"/>
          <w:sz w:val="22"/>
          <w:szCs w:val="22"/>
        </w:rPr>
        <w:t>www.wlv.ac.uk/conductandappeals</w:t>
      </w:r>
      <w:r w:rsidRPr="00D47E90">
        <w:rPr>
          <w:rFonts w:ascii="Rockwell" w:hAnsi="Rockwell"/>
          <w:sz w:val="22"/>
          <w:szCs w:val="22"/>
        </w:rPr>
        <w:t xml:space="preserve">).  </w:t>
      </w:r>
    </w:p>
    <w:p w14:paraId="5FA34549" w14:textId="77777777" w:rsidR="0047430C" w:rsidRDefault="0047430C" w:rsidP="0047430C">
      <w:pPr>
        <w:ind w:left="284"/>
        <w:jc w:val="both"/>
        <w:rPr>
          <w:rFonts w:ascii="Rockwell" w:hAnsi="Rockwell"/>
          <w:sz w:val="22"/>
          <w:szCs w:val="22"/>
        </w:rPr>
      </w:pPr>
    </w:p>
    <w:p w14:paraId="15A5EAF2" w14:textId="77777777" w:rsidR="0047430C" w:rsidRDefault="0047430C" w:rsidP="0047430C">
      <w:pPr>
        <w:jc w:val="both"/>
        <w:rPr>
          <w:rFonts w:ascii="Rockwell" w:hAnsi="Rockwell"/>
          <w:sz w:val="22"/>
          <w:szCs w:val="22"/>
        </w:rPr>
      </w:pPr>
    </w:p>
    <w:tbl>
      <w:tblPr>
        <w:tblStyle w:val="TableGrid"/>
        <w:tblW w:w="0" w:type="auto"/>
        <w:tblLook w:val="04A0" w:firstRow="1" w:lastRow="0" w:firstColumn="1" w:lastColumn="0" w:noHBand="0" w:noVBand="1"/>
      </w:tblPr>
      <w:tblGrid>
        <w:gridCol w:w="1526"/>
        <w:gridCol w:w="1559"/>
        <w:gridCol w:w="1418"/>
        <w:gridCol w:w="4025"/>
      </w:tblGrid>
      <w:tr w:rsidR="0047430C" w:rsidRPr="00B43468" w14:paraId="7C9DF5B6" w14:textId="77777777" w:rsidTr="0055518A">
        <w:tc>
          <w:tcPr>
            <w:tcW w:w="1526" w:type="dxa"/>
            <w:shd w:val="clear" w:color="auto" w:fill="D9D9D9" w:themeFill="background1" w:themeFillShade="D9"/>
          </w:tcPr>
          <w:p w14:paraId="19330F32" w14:textId="77777777" w:rsidR="0047430C" w:rsidRPr="00B43468" w:rsidRDefault="0047430C" w:rsidP="0055518A">
            <w:pPr>
              <w:autoSpaceDE w:val="0"/>
              <w:autoSpaceDN w:val="0"/>
              <w:adjustRightInd w:val="0"/>
              <w:jc w:val="both"/>
              <w:rPr>
                <w:rFonts w:ascii="Rockwell" w:hAnsi="Rockwell" w:cs="Rockwell"/>
                <w:sz w:val="20"/>
                <w:szCs w:val="20"/>
                <w:lang w:eastAsia="en-GB"/>
              </w:rPr>
            </w:pPr>
            <w:r w:rsidRPr="00B43468">
              <w:rPr>
                <w:rFonts w:ascii="Rockwell" w:hAnsi="Rockwell" w:cs="Rockwell"/>
                <w:sz w:val="20"/>
                <w:szCs w:val="20"/>
                <w:lang w:eastAsia="en-GB"/>
              </w:rPr>
              <w:t>VERSION:</w:t>
            </w:r>
          </w:p>
        </w:tc>
        <w:tc>
          <w:tcPr>
            <w:tcW w:w="1559" w:type="dxa"/>
          </w:tcPr>
          <w:p w14:paraId="56DABD5D" w14:textId="77777777" w:rsidR="0047430C" w:rsidRPr="00B43468" w:rsidRDefault="0047430C" w:rsidP="0055518A">
            <w:pPr>
              <w:autoSpaceDE w:val="0"/>
              <w:autoSpaceDN w:val="0"/>
              <w:adjustRightInd w:val="0"/>
              <w:jc w:val="both"/>
              <w:rPr>
                <w:rFonts w:ascii="Rockwell" w:hAnsi="Rockwell" w:cs="Rockwell"/>
                <w:sz w:val="20"/>
                <w:szCs w:val="20"/>
                <w:lang w:eastAsia="en-GB"/>
              </w:rPr>
            </w:pPr>
            <w:r w:rsidRPr="00B43468">
              <w:rPr>
                <w:rFonts w:ascii="Rockwell" w:hAnsi="Rockwell" w:cs="Rockwell"/>
                <w:sz w:val="20"/>
                <w:szCs w:val="20"/>
                <w:lang w:eastAsia="en-GB"/>
              </w:rPr>
              <w:t>FINAL APPROVED</w:t>
            </w:r>
          </w:p>
        </w:tc>
        <w:tc>
          <w:tcPr>
            <w:tcW w:w="1418" w:type="dxa"/>
            <w:shd w:val="clear" w:color="auto" w:fill="D9D9D9" w:themeFill="background1" w:themeFillShade="D9"/>
          </w:tcPr>
          <w:p w14:paraId="209F8E93" w14:textId="77777777" w:rsidR="0047430C" w:rsidRPr="00B43468" w:rsidRDefault="0047430C" w:rsidP="0055518A">
            <w:pPr>
              <w:autoSpaceDE w:val="0"/>
              <w:autoSpaceDN w:val="0"/>
              <w:adjustRightInd w:val="0"/>
              <w:jc w:val="both"/>
              <w:rPr>
                <w:rFonts w:ascii="Rockwell" w:hAnsi="Rockwell" w:cs="Rockwell"/>
                <w:sz w:val="20"/>
                <w:szCs w:val="20"/>
                <w:lang w:eastAsia="en-GB"/>
              </w:rPr>
            </w:pPr>
            <w:r w:rsidRPr="00B43468">
              <w:rPr>
                <w:rFonts w:ascii="Rockwell" w:hAnsi="Rockwell" w:cs="Rockwell"/>
                <w:sz w:val="20"/>
                <w:szCs w:val="20"/>
                <w:lang w:eastAsia="en-GB"/>
              </w:rPr>
              <w:t>AUTHOR/ OWNER:</w:t>
            </w:r>
          </w:p>
        </w:tc>
        <w:tc>
          <w:tcPr>
            <w:tcW w:w="4025" w:type="dxa"/>
          </w:tcPr>
          <w:p w14:paraId="242D658F" w14:textId="6D9EB17A" w:rsidR="0047430C" w:rsidRPr="00B43468" w:rsidRDefault="0047430C" w:rsidP="0021260C">
            <w:pPr>
              <w:autoSpaceDE w:val="0"/>
              <w:autoSpaceDN w:val="0"/>
              <w:adjustRightInd w:val="0"/>
              <w:jc w:val="both"/>
              <w:rPr>
                <w:rFonts w:ascii="Rockwell" w:hAnsi="Rockwell" w:cs="Rockwell"/>
                <w:sz w:val="20"/>
                <w:szCs w:val="20"/>
                <w:lang w:eastAsia="en-GB"/>
              </w:rPr>
            </w:pPr>
            <w:r w:rsidRPr="00B43468">
              <w:rPr>
                <w:rFonts w:ascii="Rockwell" w:hAnsi="Rockwell" w:cs="Rockwell"/>
                <w:sz w:val="20"/>
                <w:szCs w:val="20"/>
                <w:lang w:eastAsia="en-GB"/>
              </w:rPr>
              <w:t xml:space="preserve">Conduct &amp; Appeals Unit, </w:t>
            </w:r>
            <w:r w:rsidR="0021260C">
              <w:rPr>
                <w:rFonts w:ascii="Rockwell" w:hAnsi="Rockwell" w:cs="Rockwell"/>
                <w:sz w:val="20"/>
                <w:szCs w:val="20"/>
                <w:lang w:eastAsia="en-GB"/>
              </w:rPr>
              <w:t>Registry</w:t>
            </w:r>
          </w:p>
        </w:tc>
      </w:tr>
      <w:tr w:rsidR="0047430C" w:rsidRPr="00B43468" w14:paraId="0C87390E" w14:textId="77777777" w:rsidTr="0055518A">
        <w:tc>
          <w:tcPr>
            <w:tcW w:w="1526" w:type="dxa"/>
            <w:shd w:val="clear" w:color="auto" w:fill="D9D9D9" w:themeFill="background1" w:themeFillShade="D9"/>
          </w:tcPr>
          <w:p w14:paraId="52E8545B" w14:textId="77777777" w:rsidR="0047430C" w:rsidRPr="00B43468" w:rsidRDefault="0047430C" w:rsidP="0055518A">
            <w:pPr>
              <w:autoSpaceDE w:val="0"/>
              <w:autoSpaceDN w:val="0"/>
              <w:adjustRightInd w:val="0"/>
              <w:rPr>
                <w:rFonts w:ascii="Rockwell" w:hAnsi="Rockwell" w:cs="Rockwell"/>
                <w:sz w:val="20"/>
                <w:szCs w:val="20"/>
                <w:lang w:eastAsia="en-GB"/>
              </w:rPr>
            </w:pPr>
            <w:r w:rsidRPr="00B43468">
              <w:rPr>
                <w:rFonts w:ascii="Rockwell" w:hAnsi="Rockwell" w:cs="Rockwell"/>
                <w:sz w:val="20"/>
                <w:szCs w:val="20"/>
                <w:lang w:eastAsia="en-GB"/>
              </w:rPr>
              <w:t>Approved:</w:t>
            </w:r>
          </w:p>
        </w:tc>
        <w:tc>
          <w:tcPr>
            <w:tcW w:w="1559" w:type="dxa"/>
          </w:tcPr>
          <w:p w14:paraId="35F91009" w14:textId="77777777" w:rsidR="0047430C" w:rsidRPr="00B43468" w:rsidRDefault="0047430C" w:rsidP="0055518A">
            <w:pPr>
              <w:autoSpaceDE w:val="0"/>
              <w:autoSpaceDN w:val="0"/>
              <w:adjustRightInd w:val="0"/>
              <w:rPr>
                <w:rFonts w:ascii="Rockwell" w:hAnsi="Rockwell" w:cs="Rockwell"/>
                <w:sz w:val="20"/>
                <w:szCs w:val="20"/>
                <w:lang w:eastAsia="en-GB"/>
              </w:rPr>
            </w:pPr>
          </w:p>
        </w:tc>
        <w:tc>
          <w:tcPr>
            <w:tcW w:w="1418" w:type="dxa"/>
            <w:shd w:val="clear" w:color="auto" w:fill="D9D9D9" w:themeFill="background1" w:themeFillShade="D9"/>
          </w:tcPr>
          <w:p w14:paraId="2EE8EF1B" w14:textId="77777777" w:rsidR="0047430C" w:rsidRPr="00B43468" w:rsidRDefault="0047430C" w:rsidP="0055518A">
            <w:pPr>
              <w:autoSpaceDE w:val="0"/>
              <w:autoSpaceDN w:val="0"/>
              <w:adjustRightInd w:val="0"/>
              <w:rPr>
                <w:rFonts w:ascii="Rockwell" w:hAnsi="Rockwell" w:cs="Rockwell"/>
                <w:sz w:val="20"/>
                <w:szCs w:val="20"/>
                <w:lang w:eastAsia="en-GB"/>
              </w:rPr>
            </w:pPr>
            <w:r w:rsidRPr="00B43468">
              <w:rPr>
                <w:rFonts w:ascii="Rockwell" w:hAnsi="Rockwell" w:cs="Rockwell"/>
                <w:sz w:val="20"/>
                <w:szCs w:val="20"/>
                <w:lang w:eastAsia="en-GB"/>
              </w:rPr>
              <w:t xml:space="preserve">Approved By: </w:t>
            </w:r>
          </w:p>
        </w:tc>
        <w:tc>
          <w:tcPr>
            <w:tcW w:w="4025" w:type="dxa"/>
          </w:tcPr>
          <w:p w14:paraId="39299D60" w14:textId="77777777" w:rsidR="0047430C" w:rsidRPr="00B43468" w:rsidRDefault="0047430C" w:rsidP="0055518A">
            <w:pPr>
              <w:autoSpaceDE w:val="0"/>
              <w:autoSpaceDN w:val="0"/>
              <w:adjustRightInd w:val="0"/>
              <w:rPr>
                <w:rFonts w:ascii="Rockwell" w:hAnsi="Rockwell" w:cs="Rockwell"/>
                <w:sz w:val="20"/>
                <w:szCs w:val="20"/>
                <w:lang w:eastAsia="en-GB"/>
              </w:rPr>
            </w:pPr>
            <w:r w:rsidRPr="00B43468">
              <w:rPr>
                <w:rFonts w:ascii="Rockwell" w:hAnsi="Rockwell" w:cs="Rockwell"/>
                <w:sz w:val="20"/>
                <w:szCs w:val="20"/>
                <w:lang w:eastAsia="en-GB"/>
              </w:rPr>
              <w:t xml:space="preserve">Academic Board for implementation effective - </w:t>
            </w:r>
          </w:p>
        </w:tc>
      </w:tr>
      <w:tr w:rsidR="0047430C" w:rsidRPr="00B43468" w14:paraId="5BA9B83C" w14:textId="77777777" w:rsidTr="0055518A">
        <w:tc>
          <w:tcPr>
            <w:tcW w:w="1526" w:type="dxa"/>
            <w:shd w:val="clear" w:color="auto" w:fill="D9D9D9" w:themeFill="background1" w:themeFillShade="D9"/>
          </w:tcPr>
          <w:p w14:paraId="3AA48502" w14:textId="77777777" w:rsidR="0047430C" w:rsidRPr="00B43468" w:rsidRDefault="0047430C" w:rsidP="0055518A">
            <w:pPr>
              <w:rPr>
                <w:rFonts w:ascii="Rockwell" w:hAnsi="Rockwell"/>
                <w:sz w:val="22"/>
                <w:szCs w:val="22"/>
              </w:rPr>
            </w:pPr>
            <w:r w:rsidRPr="00B43468">
              <w:rPr>
                <w:rFonts w:ascii="Rockwell" w:hAnsi="Rockwell" w:cs="Rockwell"/>
                <w:sz w:val="20"/>
                <w:szCs w:val="20"/>
                <w:lang w:eastAsia="en-GB"/>
              </w:rPr>
              <w:t xml:space="preserve">Review Date: </w:t>
            </w:r>
          </w:p>
        </w:tc>
        <w:tc>
          <w:tcPr>
            <w:tcW w:w="1559" w:type="dxa"/>
          </w:tcPr>
          <w:p w14:paraId="548F7D09" w14:textId="77777777" w:rsidR="0047430C" w:rsidRPr="00B43468" w:rsidRDefault="0047430C" w:rsidP="0055518A">
            <w:pPr>
              <w:rPr>
                <w:rFonts w:ascii="Rockwell" w:hAnsi="Rockwell"/>
                <w:sz w:val="22"/>
                <w:szCs w:val="22"/>
              </w:rPr>
            </w:pPr>
            <w:r>
              <w:rPr>
                <w:rFonts w:ascii="Rockwell" w:hAnsi="Rockwell"/>
                <w:sz w:val="22"/>
                <w:szCs w:val="22"/>
              </w:rPr>
              <w:t>June 2018</w:t>
            </w:r>
          </w:p>
        </w:tc>
        <w:tc>
          <w:tcPr>
            <w:tcW w:w="1418" w:type="dxa"/>
            <w:shd w:val="clear" w:color="auto" w:fill="D9D9D9" w:themeFill="background1" w:themeFillShade="D9"/>
          </w:tcPr>
          <w:p w14:paraId="1FBC9DE9" w14:textId="77777777" w:rsidR="0047430C" w:rsidRPr="00B43468" w:rsidRDefault="0047430C" w:rsidP="0055518A">
            <w:pPr>
              <w:rPr>
                <w:rFonts w:ascii="Rockwell" w:hAnsi="Rockwell"/>
                <w:sz w:val="22"/>
                <w:szCs w:val="22"/>
              </w:rPr>
            </w:pPr>
          </w:p>
        </w:tc>
        <w:tc>
          <w:tcPr>
            <w:tcW w:w="4025" w:type="dxa"/>
          </w:tcPr>
          <w:p w14:paraId="2202ACBE" w14:textId="77777777" w:rsidR="0047430C" w:rsidRPr="00B43468" w:rsidRDefault="0047430C" w:rsidP="0055518A">
            <w:pPr>
              <w:rPr>
                <w:rFonts w:ascii="Rockwell" w:hAnsi="Rockwell"/>
                <w:sz w:val="22"/>
                <w:szCs w:val="22"/>
              </w:rPr>
            </w:pPr>
          </w:p>
        </w:tc>
      </w:tr>
    </w:tbl>
    <w:p w14:paraId="190DAD04" w14:textId="77777777" w:rsidR="0047430C" w:rsidRDefault="0047430C" w:rsidP="0047430C">
      <w:pPr>
        <w:jc w:val="both"/>
        <w:rPr>
          <w:rFonts w:ascii="Rockwell" w:hAnsi="Rockwell"/>
          <w:sz w:val="22"/>
          <w:szCs w:val="22"/>
        </w:rPr>
      </w:pPr>
    </w:p>
    <w:p w14:paraId="4AB0CDDC" w14:textId="77777777" w:rsidR="00BB4EF8" w:rsidRDefault="00BB4EF8" w:rsidP="009E2FD6">
      <w:pPr>
        <w:pStyle w:val="Heading2"/>
        <w:rPr>
          <w:rFonts w:ascii="Rockwell" w:hAnsi="Rockwell"/>
          <w:sz w:val="22"/>
          <w:szCs w:val="22"/>
        </w:rPr>
      </w:pPr>
    </w:p>
    <w:sectPr w:rsidR="00BB4EF8" w:rsidSect="00C81ACA">
      <w:headerReference w:type="default" r:id="rId26"/>
      <w:footerReference w:type="default" r:id="rId27"/>
      <w:footnotePr>
        <w:numRestart w:val="eachPage"/>
      </w:footnotePr>
      <w:pgSz w:w="16838" w:h="11906" w:orient="landscape"/>
      <w:pgMar w:top="1131" w:right="1134" w:bottom="1418" w:left="737" w:header="425"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DA233" w14:textId="77777777" w:rsidR="00981459" w:rsidRDefault="00981459">
      <w:r>
        <w:separator/>
      </w:r>
    </w:p>
  </w:endnote>
  <w:endnote w:type="continuationSeparator" w:id="0">
    <w:p w14:paraId="331F57F3" w14:textId="77777777" w:rsidR="00981459" w:rsidRDefault="0098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6D6F" w14:textId="77777777" w:rsidR="00940D45" w:rsidRDefault="00940D45" w:rsidP="00145D36">
    <w:pPr>
      <w:rPr>
        <w:rFonts w:ascii="Rockwell" w:hAnsi="Rockwell" w:cs="Arial"/>
        <w:bCs/>
        <w:sz w:val="20"/>
        <w:szCs w:val="20"/>
      </w:rPr>
    </w:pPr>
  </w:p>
  <w:p w14:paraId="00C1274D" w14:textId="77777777" w:rsidR="00940D45" w:rsidRPr="00145D36" w:rsidRDefault="00940D45" w:rsidP="004A68CA">
    <w:pPr>
      <w:pStyle w:val="Heading1"/>
      <w:ind w:right="-1186"/>
      <w:rPr>
        <w:rFonts w:ascii="Rockwell" w:hAnsi="Rockwell"/>
        <w:bCs w:val="0"/>
        <w:sz w:val="20"/>
        <w:szCs w:val="20"/>
      </w:rPr>
    </w:pPr>
    <w:r w:rsidRPr="004A68CA">
      <w:rPr>
        <w:rFonts w:ascii="Rockwell" w:hAnsi="Rockwell"/>
        <w:sz w:val="20"/>
        <w:szCs w:val="20"/>
      </w:rPr>
      <w:t>Regulations &amp; Procedure For The Investigation Of Academic Misconduct</w:t>
    </w:r>
    <w:r>
      <w:rPr>
        <w:rFonts w:ascii="Rockwell" w:hAnsi="Rockwell"/>
        <w:sz w:val="20"/>
        <w:szCs w:val="20"/>
      </w:rPr>
      <w:t xml:space="preserve">                P</w:t>
    </w:r>
    <w:r w:rsidRPr="00145D36">
      <w:rPr>
        <w:rFonts w:ascii="Rockwell" w:hAnsi="Rockwell"/>
        <w:sz w:val="20"/>
        <w:szCs w:val="20"/>
      </w:rPr>
      <w:t xml:space="preserve">age </w:t>
    </w:r>
    <w:r w:rsidRPr="00145D36">
      <w:rPr>
        <w:rFonts w:ascii="Rockwell" w:hAnsi="Rockwell"/>
        <w:bCs w:val="0"/>
        <w:sz w:val="20"/>
        <w:szCs w:val="20"/>
      </w:rPr>
      <w:fldChar w:fldCharType="begin"/>
    </w:r>
    <w:r w:rsidRPr="00145D36">
      <w:rPr>
        <w:rFonts w:ascii="Rockwell" w:hAnsi="Rockwell"/>
        <w:sz w:val="20"/>
        <w:szCs w:val="20"/>
      </w:rPr>
      <w:instrText xml:space="preserve"> PAGE </w:instrText>
    </w:r>
    <w:r w:rsidRPr="00145D36">
      <w:rPr>
        <w:rFonts w:ascii="Rockwell" w:hAnsi="Rockwell"/>
        <w:bCs w:val="0"/>
        <w:sz w:val="20"/>
        <w:szCs w:val="20"/>
      </w:rPr>
      <w:fldChar w:fldCharType="separate"/>
    </w:r>
    <w:r w:rsidR="00F21FCB">
      <w:rPr>
        <w:rFonts w:ascii="Rockwell" w:hAnsi="Rockwell"/>
        <w:noProof/>
        <w:sz w:val="20"/>
        <w:szCs w:val="20"/>
      </w:rPr>
      <w:t>2</w:t>
    </w:r>
    <w:r w:rsidRPr="00145D36">
      <w:rPr>
        <w:rFonts w:ascii="Rockwell" w:hAnsi="Rockwell"/>
        <w:bCs w:val="0"/>
        <w:sz w:val="20"/>
        <w:szCs w:val="20"/>
      </w:rPr>
      <w:fldChar w:fldCharType="end"/>
    </w:r>
    <w:r w:rsidRPr="00145D36">
      <w:rPr>
        <w:rFonts w:ascii="Rockwell" w:hAnsi="Rockwell"/>
        <w:sz w:val="20"/>
        <w:szCs w:val="20"/>
      </w:rPr>
      <w:t xml:space="preserve"> of </w:t>
    </w:r>
    <w:r w:rsidRPr="00145D36">
      <w:rPr>
        <w:rFonts w:ascii="Rockwell" w:hAnsi="Rockwell"/>
        <w:bCs w:val="0"/>
        <w:sz w:val="20"/>
        <w:szCs w:val="20"/>
      </w:rPr>
      <w:fldChar w:fldCharType="begin"/>
    </w:r>
    <w:r w:rsidRPr="00145D36">
      <w:rPr>
        <w:rFonts w:ascii="Rockwell" w:hAnsi="Rockwell"/>
        <w:sz w:val="20"/>
        <w:szCs w:val="20"/>
      </w:rPr>
      <w:instrText xml:space="preserve"> NUMPAGES </w:instrText>
    </w:r>
    <w:r w:rsidRPr="00145D36">
      <w:rPr>
        <w:rFonts w:ascii="Rockwell" w:hAnsi="Rockwell"/>
        <w:bCs w:val="0"/>
        <w:sz w:val="20"/>
        <w:szCs w:val="20"/>
      </w:rPr>
      <w:fldChar w:fldCharType="separate"/>
    </w:r>
    <w:r w:rsidR="00F21FCB">
      <w:rPr>
        <w:rFonts w:ascii="Rockwell" w:hAnsi="Rockwell"/>
        <w:noProof/>
        <w:sz w:val="20"/>
        <w:szCs w:val="20"/>
      </w:rPr>
      <w:t>11</w:t>
    </w:r>
    <w:r w:rsidRPr="00145D36">
      <w:rPr>
        <w:rFonts w:ascii="Rockwell" w:hAnsi="Rockwell"/>
        <w:bCs w:val="0"/>
        <w:sz w:val="20"/>
        <w:szCs w:val="20"/>
      </w:rPr>
      <w:fldChar w:fldCharType="end"/>
    </w:r>
    <w:r>
      <w:rPr>
        <w:rFonts w:ascii="Rockwell" w:hAnsi="Rockwel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41E9" w14:textId="77777777" w:rsidR="004F387A" w:rsidRDefault="004F387A" w:rsidP="00145D36">
    <w:pPr>
      <w:rPr>
        <w:rFonts w:ascii="Rockwell" w:hAnsi="Rockwell" w:cs="Arial"/>
        <w:bCs/>
        <w:sz w:val="20"/>
        <w:szCs w:val="20"/>
      </w:rPr>
    </w:pPr>
  </w:p>
  <w:p w14:paraId="6B177B1B" w14:textId="3B709F09" w:rsidR="004F387A" w:rsidRPr="00145D36" w:rsidRDefault="004F387A" w:rsidP="004A68CA">
    <w:pPr>
      <w:pStyle w:val="Heading1"/>
      <w:ind w:right="-1186"/>
      <w:rPr>
        <w:rFonts w:ascii="Rockwell" w:hAnsi="Rockwell"/>
        <w:bCs w:val="0"/>
        <w:sz w:val="20"/>
        <w:szCs w:val="20"/>
      </w:rPr>
    </w:pPr>
    <w:r w:rsidRPr="004A68CA">
      <w:rPr>
        <w:rFonts w:ascii="Rockwell" w:hAnsi="Rockwell"/>
        <w:sz w:val="20"/>
        <w:szCs w:val="20"/>
      </w:rPr>
      <w:t xml:space="preserve">Regulations &amp; Procedure For The Investigation </w:t>
    </w:r>
    <w:r w:rsidR="002D4764">
      <w:rPr>
        <w:rFonts w:ascii="Rockwell" w:hAnsi="Rockwell"/>
        <w:sz w:val="20"/>
        <w:szCs w:val="20"/>
      </w:rPr>
      <w:t>o</w:t>
    </w:r>
    <w:r w:rsidRPr="004A68CA">
      <w:rPr>
        <w:rFonts w:ascii="Rockwell" w:hAnsi="Rockwell"/>
        <w:sz w:val="20"/>
        <w:szCs w:val="20"/>
      </w:rPr>
      <w:t>f Academic Misconduct</w:t>
    </w:r>
    <w:r>
      <w:rPr>
        <w:rFonts w:ascii="Rockwell" w:hAnsi="Rockwell"/>
        <w:sz w:val="20"/>
        <w:szCs w:val="20"/>
      </w:rPr>
      <w:t xml:space="preserve">                P</w:t>
    </w:r>
    <w:r w:rsidRPr="00145D36">
      <w:rPr>
        <w:rFonts w:ascii="Rockwell" w:hAnsi="Rockwell"/>
        <w:sz w:val="20"/>
        <w:szCs w:val="20"/>
      </w:rPr>
      <w:t xml:space="preserve">age </w:t>
    </w:r>
    <w:r w:rsidRPr="00145D36">
      <w:rPr>
        <w:rFonts w:ascii="Rockwell" w:hAnsi="Rockwell"/>
        <w:bCs w:val="0"/>
        <w:sz w:val="20"/>
        <w:szCs w:val="20"/>
      </w:rPr>
      <w:fldChar w:fldCharType="begin"/>
    </w:r>
    <w:r w:rsidRPr="00145D36">
      <w:rPr>
        <w:rFonts w:ascii="Rockwell" w:hAnsi="Rockwell"/>
        <w:sz w:val="20"/>
        <w:szCs w:val="20"/>
      </w:rPr>
      <w:instrText xml:space="preserve"> PAGE </w:instrText>
    </w:r>
    <w:r w:rsidRPr="00145D36">
      <w:rPr>
        <w:rFonts w:ascii="Rockwell" w:hAnsi="Rockwell"/>
        <w:bCs w:val="0"/>
        <w:sz w:val="20"/>
        <w:szCs w:val="20"/>
      </w:rPr>
      <w:fldChar w:fldCharType="separate"/>
    </w:r>
    <w:r w:rsidR="00F21FCB">
      <w:rPr>
        <w:rFonts w:ascii="Rockwell" w:hAnsi="Rockwell"/>
        <w:noProof/>
        <w:sz w:val="20"/>
        <w:szCs w:val="20"/>
      </w:rPr>
      <w:t>11</w:t>
    </w:r>
    <w:r w:rsidRPr="00145D36">
      <w:rPr>
        <w:rFonts w:ascii="Rockwell" w:hAnsi="Rockwell"/>
        <w:bCs w:val="0"/>
        <w:sz w:val="20"/>
        <w:szCs w:val="20"/>
      </w:rPr>
      <w:fldChar w:fldCharType="end"/>
    </w:r>
    <w:r w:rsidRPr="00145D36">
      <w:rPr>
        <w:rFonts w:ascii="Rockwell" w:hAnsi="Rockwell"/>
        <w:sz w:val="20"/>
        <w:szCs w:val="20"/>
      </w:rPr>
      <w:t xml:space="preserve"> of </w:t>
    </w:r>
    <w:r w:rsidRPr="00145D36">
      <w:rPr>
        <w:rFonts w:ascii="Rockwell" w:hAnsi="Rockwell"/>
        <w:bCs w:val="0"/>
        <w:sz w:val="20"/>
        <w:szCs w:val="20"/>
      </w:rPr>
      <w:fldChar w:fldCharType="begin"/>
    </w:r>
    <w:r w:rsidRPr="00145D36">
      <w:rPr>
        <w:rFonts w:ascii="Rockwell" w:hAnsi="Rockwell"/>
        <w:sz w:val="20"/>
        <w:szCs w:val="20"/>
      </w:rPr>
      <w:instrText xml:space="preserve"> NUMPAGES </w:instrText>
    </w:r>
    <w:r w:rsidRPr="00145D36">
      <w:rPr>
        <w:rFonts w:ascii="Rockwell" w:hAnsi="Rockwell"/>
        <w:bCs w:val="0"/>
        <w:sz w:val="20"/>
        <w:szCs w:val="20"/>
      </w:rPr>
      <w:fldChar w:fldCharType="separate"/>
    </w:r>
    <w:r w:rsidR="00F21FCB">
      <w:rPr>
        <w:rFonts w:ascii="Rockwell" w:hAnsi="Rockwell"/>
        <w:noProof/>
        <w:sz w:val="20"/>
        <w:szCs w:val="20"/>
      </w:rPr>
      <w:t>11</w:t>
    </w:r>
    <w:r w:rsidRPr="00145D36">
      <w:rPr>
        <w:rFonts w:ascii="Rockwell" w:hAnsi="Rockwell"/>
        <w:bCs w:val="0"/>
        <w:sz w:val="20"/>
        <w:szCs w:val="20"/>
      </w:rPr>
      <w:fldChar w:fldCharType="end"/>
    </w:r>
    <w:r>
      <w:rPr>
        <w:rFonts w:ascii="Rockwell" w:hAnsi="Rockwel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5DCDA" w14:textId="77777777" w:rsidR="00981459" w:rsidRDefault="00981459">
      <w:r>
        <w:separator/>
      </w:r>
    </w:p>
  </w:footnote>
  <w:footnote w:type="continuationSeparator" w:id="0">
    <w:p w14:paraId="3E9EDEE9" w14:textId="77777777" w:rsidR="00981459" w:rsidRDefault="00981459">
      <w:r>
        <w:continuationSeparator/>
      </w:r>
    </w:p>
  </w:footnote>
  <w:footnote w:id="1">
    <w:p w14:paraId="2883BBE2" w14:textId="77777777" w:rsidR="00940D45" w:rsidRPr="008D2748" w:rsidRDefault="00940D45" w:rsidP="00BB4EF8">
      <w:pPr>
        <w:pStyle w:val="FootnoteText"/>
        <w:rPr>
          <w:rFonts w:ascii="Rockwell" w:hAnsi="Rockwell"/>
          <w:sz w:val="18"/>
          <w:szCs w:val="18"/>
        </w:rPr>
      </w:pPr>
      <w:r w:rsidRPr="008D2748">
        <w:rPr>
          <w:rStyle w:val="FootnoteReference"/>
          <w:rFonts w:ascii="Rockwell" w:hAnsi="Rockwell"/>
          <w:sz w:val="18"/>
          <w:szCs w:val="18"/>
        </w:rPr>
        <w:footnoteRef/>
      </w:r>
      <w:r w:rsidRPr="008D2748">
        <w:rPr>
          <w:rFonts w:ascii="Rockwell" w:hAnsi="Rockwell"/>
          <w:sz w:val="18"/>
          <w:szCs w:val="18"/>
        </w:rPr>
        <w:t xml:space="preserve"> Further details of the review scheme operated by the Office of the Independent Adjudicator for Higher Education (OIA) are available at their website:  </w:t>
      </w:r>
      <w:hyperlink r:id="rId1" w:history="1">
        <w:r w:rsidRPr="008D2748">
          <w:rPr>
            <w:rStyle w:val="Hyperlink"/>
            <w:rFonts w:ascii="Rockwell" w:hAnsi="Rockwell"/>
            <w:sz w:val="18"/>
            <w:szCs w:val="18"/>
          </w:rPr>
          <w:t>www.oiahe.org.uk</w:t>
        </w:r>
      </w:hyperlink>
      <w:r w:rsidRPr="008D2748">
        <w:rPr>
          <w:rFonts w:ascii="Rockwell" w:hAnsi="Rockwell"/>
          <w:sz w:val="18"/>
          <w:szCs w:val="18"/>
        </w:rPr>
        <w:t xml:space="preserve"> </w:t>
      </w:r>
    </w:p>
  </w:footnote>
  <w:footnote w:id="2">
    <w:p w14:paraId="60CB9FAC" w14:textId="77777777" w:rsidR="00160CF6" w:rsidRPr="008D2748" w:rsidRDefault="00160CF6" w:rsidP="00160CF6">
      <w:pPr>
        <w:pStyle w:val="FootnoteText"/>
        <w:rPr>
          <w:sz w:val="18"/>
          <w:szCs w:val="18"/>
        </w:rPr>
      </w:pPr>
      <w:r w:rsidRPr="008D2748">
        <w:rPr>
          <w:rStyle w:val="FootnoteReference"/>
          <w:sz w:val="18"/>
          <w:szCs w:val="18"/>
        </w:rPr>
        <w:footnoteRef/>
      </w:r>
      <w:r w:rsidRPr="008D2748">
        <w:rPr>
          <w:rFonts w:ascii="Rockwell" w:hAnsi="Rockwell"/>
          <w:sz w:val="18"/>
          <w:szCs w:val="18"/>
        </w:rPr>
        <w:t xml:space="preserve">Further details of the review scheme operated by the Office of the Independent Adjudicator for Higher Education (OIA) are available at their website:  </w:t>
      </w:r>
      <w:hyperlink r:id="rId2" w:history="1">
        <w:r w:rsidRPr="008D2748">
          <w:rPr>
            <w:rStyle w:val="Hyperlink"/>
            <w:rFonts w:ascii="Rockwell" w:hAnsi="Rockwell"/>
            <w:sz w:val="18"/>
            <w:szCs w:val="18"/>
          </w:rPr>
          <w:t>www.oiahe.org.uk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CD743" w14:textId="77777777" w:rsidR="004F387A" w:rsidRDefault="004F3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C6A"/>
    <w:multiLevelType w:val="hybridMultilevel"/>
    <w:tmpl w:val="1DD864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927C0"/>
    <w:multiLevelType w:val="hybridMultilevel"/>
    <w:tmpl w:val="760C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7D5E70"/>
    <w:multiLevelType w:val="hybridMultilevel"/>
    <w:tmpl w:val="D53E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3213A"/>
    <w:multiLevelType w:val="hybridMultilevel"/>
    <w:tmpl w:val="7C1A62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4167AF"/>
    <w:multiLevelType w:val="hybridMultilevel"/>
    <w:tmpl w:val="8E92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A7ED7"/>
    <w:multiLevelType w:val="hybridMultilevel"/>
    <w:tmpl w:val="21924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7DA0166"/>
    <w:multiLevelType w:val="hybridMultilevel"/>
    <w:tmpl w:val="9AD8C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C5B4C3A"/>
    <w:multiLevelType w:val="hybridMultilevel"/>
    <w:tmpl w:val="43C8D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DA53D5D"/>
    <w:multiLevelType w:val="hybridMultilevel"/>
    <w:tmpl w:val="9564B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16B7FDC"/>
    <w:multiLevelType w:val="hybridMultilevel"/>
    <w:tmpl w:val="4AAE499C"/>
    <w:lvl w:ilvl="0" w:tplc="E702DC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54676C"/>
    <w:multiLevelType w:val="hybridMultilevel"/>
    <w:tmpl w:val="AD84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EF0100"/>
    <w:multiLevelType w:val="hybridMultilevel"/>
    <w:tmpl w:val="A2CE34D0"/>
    <w:lvl w:ilvl="0" w:tplc="1C6CA350">
      <w:start w:val="1"/>
      <w:numFmt w:val="bullet"/>
      <w:pStyle w:val="Norm"/>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2">
    <w:nsid w:val="37131D2B"/>
    <w:multiLevelType w:val="hybridMultilevel"/>
    <w:tmpl w:val="469AE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8247F50"/>
    <w:multiLevelType w:val="hybridMultilevel"/>
    <w:tmpl w:val="FB6A9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92B777B"/>
    <w:multiLevelType w:val="hybridMultilevel"/>
    <w:tmpl w:val="150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6F141C"/>
    <w:multiLevelType w:val="hybridMultilevel"/>
    <w:tmpl w:val="3F9CD0E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3BEB58D5"/>
    <w:multiLevelType w:val="hybridMultilevel"/>
    <w:tmpl w:val="3EC4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AB0479"/>
    <w:multiLevelType w:val="hybridMultilevel"/>
    <w:tmpl w:val="F2CC423E"/>
    <w:lvl w:ilvl="0" w:tplc="B50AE47E">
      <w:start w:val="1"/>
      <w:numFmt w:val="bullet"/>
      <w:lvlText w:val=""/>
      <w:lvlJc w:val="left"/>
      <w:pPr>
        <w:tabs>
          <w:tab w:val="num" w:pos="284"/>
        </w:tabs>
        <w:ind w:left="284" w:hanging="171"/>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D6C7DF1"/>
    <w:multiLevelType w:val="hybridMultilevel"/>
    <w:tmpl w:val="B50C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7F23C9"/>
    <w:multiLevelType w:val="hybridMultilevel"/>
    <w:tmpl w:val="236A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A207E9"/>
    <w:multiLevelType w:val="hybridMultilevel"/>
    <w:tmpl w:val="6BBC7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C1E249B"/>
    <w:multiLevelType w:val="hybridMultilevel"/>
    <w:tmpl w:val="FEA0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AB524A"/>
    <w:multiLevelType w:val="hybridMultilevel"/>
    <w:tmpl w:val="7370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0462D"/>
    <w:multiLevelType w:val="hybridMultilevel"/>
    <w:tmpl w:val="A51E2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DB4E45"/>
    <w:multiLevelType w:val="hybridMultilevel"/>
    <w:tmpl w:val="E29C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580B82"/>
    <w:multiLevelType w:val="hybridMultilevel"/>
    <w:tmpl w:val="73D421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6A3444F"/>
    <w:multiLevelType w:val="hybridMultilevel"/>
    <w:tmpl w:val="8F0C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E80CF7"/>
    <w:multiLevelType w:val="hybridMultilevel"/>
    <w:tmpl w:val="0C42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B167E2"/>
    <w:multiLevelType w:val="hybridMultilevel"/>
    <w:tmpl w:val="1CCE6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9C57046"/>
    <w:multiLevelType w:val="hybridMultilevel"/>
    <w:tmpl w:val="EAD217C4"/>
    <w:lvl w:ilvl="0" w:tplc="08090013">
      <w:start w:val="1"/>
      <w:numFmt w:val="upperRoman"/>
      <w:lvlText w:val="%1."/>
      <w:lvlJc w:val="righ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F990DF0"/>
    <w:multiLevelType w:val="hybridMultilevel"/>
    <w:tmpl w:val="CF5C8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12"/>
  </w:num>
  <w:num w:numId="4">
    <w:abstractNumId w:val="3"/>
  </w:num>
  <w:num w:numId="5">
    <w:abstractNumId w:val="23"/>
  </w:num>
  <w:num w:numId="6">
    <w:abstractNumId w:val="13"/>
  </w:num>
  <w:num w:numId="7">
    <w:abstractNumId w:val="7"/>
  </w:num>
  <w:num w:numId="8">
    <w:abstractNumId w:val="20"/>
  </w:num>
  <w:num w:numId="9">
    <w:abstractNumId w:val="30"/>
  </w:num>
  <w:num w:numId="10">
    <w:abstractNumId w:val="27"/>
  </w:num>
  <w:num w:numId="11">
    <w:abstractNumId w:val="14"/>
  </w:num>
  <w:num w:numId="12">
    <w:abstractNumId w:val="15"/>
  </w:num>
  <w:num w:numId="13">
    <w:abstractNumId w:val="22"/>
  </w:num>
  <w:num w:numId="14">
    <w:abstractNumId w:val="29"/>
  </w:num>
  <w:num w:numId="15">
    <w:abstractNumId w:val="9"/>
  </w:num>
  <w:num w:numId="16">
    <w:abstractNumId w:val="28"/>
  </w:num>
  <w:num w:numId="17">
    <w:abstractNumId w:val="6"/>
  </w:num>
  <w:num w:numId="18">
    <w:abstractNumId w:val="5"/>
  </w:num>
  <w:num w:numId="19">
    <w:abstractNumId w:val="17"/>
  </w:num>
  <w:num w:numId="20">
    <w:abstractNumId w:val="19"/>
  </w:num>
  <w:num w:numId="21">
    <w:abstractNumId w:val="4"/>
  </w:num>
  <w:num w:numId="22">
    <w:abstractNumId w:val="2"/>
  </w:num>
  <w:num w:numId="23">
    <w:abstractNumId w:val="16"/>
  </w:num>
  <w:num w:numId="24">
    <w:abstractNumId w:val="0"/>
  </w:num>
  <w:num w:numId="25">
    <w:abstractNumId w:val="8"/>
  </w:num>
  <w:num w:numId="26">
    <w:abstractNumId w:val="1"/>
  </w:num>
  <w:num w:numId="27">
    <w:abstractNumId w:val="18"/>
  </w:num>
  <w:num w:numId="28">
    <w:abstractNumId w:val="10"/>
  </w:num>
  <w:num w:numId="29">
    <w:abstractNumId w:val="24"/>
  </w:num>
  <w:num w:numId="30">
    <w:abstractNumId w:val="26"/>
  </w:num>
  <w:num w:numId="31">
    <w:abstractNumId w:val="2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Shiner">
    <w15:presenceInfo w15:providerId="Windows Live" w15:userId="d32a6de2eb39e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5"/>
    <w:rsid w:val="0000577D"/>
    <w:rsid w:val="000170C3"/>
    <w:rsid w:val="0002545E"/>
    <w:rsid w:val="00026979"/>
    <w:rsid w:val="0003186A"/>
    <w:rsid w:val="00040FF9"/>
    <w:rsid w:val="0004260E"/>
    <w:rsid w:val="00043110"/>
    <w:rsid w:val="00044E3D"/>
    <w:rsid w:val="000538FF"/>
    <w:rsid w:val="00056E5A"/>
    <w:rsid w:val="000622F2"/>
    <w:rsid w:val="00067A0B"/>
    <w:rsid w:val="000754ED"/>
    <w:rsid w:val="000769D1"/>
    <w:rsid w:val="0008660B"/>
    <w:rsid w:val="000A1914"/>
    <w:rsid w:val="000A2B37"/>
    <w:rsid w:val="000A6ED8"/>
    <w:rsid w:val="000C1299"/>
    <w:rsid w:val="000D1059"/>
    <w:rsid w:val="000D1877"/>
    <w:rsid w:val="000D79D1"/>
    <w:rsid w:val="000E4CEC"/>
    <w:rsid w:val="000F0CAD"/>
    <w:rsid w:val="000F4D69"/>
    <w:rsid w:val="00100EC7"/>
    <w:rsid w:val="001072A5"/>
    <w:rsid w:val="00141516"/>
    <w:rsid w:val="0014233D"/>
    <w:rsid w:val="00145D36"/>
    <w:rsid w:val="001471D0"/>
    <w:rsid w:val="00160CF6"/>
    <w:rsid w:val="0016174D"/>
    <w:rsid w:val="001643D9"/>
    <w:rsid w:val="00174888"/>
    <w:rsid w:val="0018319E"/>
    <w:rsid w:val="00185347"/>
    <w:rsid w:val="001919C2"/>
    <w:rsid w:val="001C16E4"/>
    <w:rsid w:val="001C36D0"/>
    <w:rsid w:val="001C5683"/>
    <w:rsid w:val="001C6752"/>
    <w:rsid w:val="001D2BCF"/>
    <w:rsid w:val="001D441A"/>
    <w:rsid w:val="001D44F0"/>
    <w:rsid w:val="001D49AE"/>
    <w:rsid w:val="001E1D99"/>
    <w:rsid w:val="001E5FDB"/>
    <w:rsid w:val="001F137A"/>
    <w:rsid w:val="00202106"/>
    <w:rsid w:val="0020316B"/>
    <w:rsid w:val="00204BC5"/>
    <w:rsid w:val="00207E85"/>
    <w:rsid w:val="00212365"/>
    <w:rsid w:val="0021260C"/>
    <w:rsid w:val="00223C5C"/>
    <w:rsid w:val="00230525"/>
    <w:rsid w:val="00246A96"/>
    <w:rsid w:val="00246C9F"/>
    <w:rsid w:val="00254D61"/>
    <w:rsid w:val="00264A66"/>
    <w:rsid w:val="00265A8E"/>
    <w:rsid w:val="00270EF5"/>
    <w:rsid w:val="0027771D"/>
    <w:rsid w:val="00295432"/>
    <w:rsid w:val="002A6B03"/>
    <w:rsid w:val="002B4DD2"/>
    <w:rsid w:val="002C335B"/>
    <w:rsid w:val="002C653F"/>
    <w:rsid w:val="002D4764"/>
    <w:rsid w:val="002D6204"/>
    <w:rsid w:val="002E0680"/>
    <w:rsid w:val="002E7109"/>
    <w:rsid w:val="002E770F"/>
    <w:rsid w:val="002F002D"/>
    <w:rsid w:val="002F12D6"/>
    <w:rsid w:val="002F7CAC"/>
    <w:rsid w:val="00315BC5"/>
    <w:rsid w:val="0033104A"/>
    <w:rsid w:val="00337666"/>
    <w:rsid w:val="00350D43"/>
    <w:rsid w:val="003512D6"/>
    <w:rsid w:val="00354CB1"/>
    <w:rsid w:val="00372AC3"/>
    <w:rsid w:val="00380122"/>
    <w:rsid w:val="00380281"/>
    <w:rsid w:val="0038318C"/>
    <w:rsid w:val="0038327B"/>
    <w:rsid w:val="0038551C"/>
    <w:rsid w:val="003B7FDF"/>
    <w:rsid w:val="003C05D3"/>
    <w:rsid w:val="003D10A9"/>
    <w:rsid w:val="003D335C"/>
    <w:rsid w:val="003E1E79"/>
    <w:rsid w:val="003F43B6"/>
    <w:rsid w:val="00414D9B"/>
    <w:rsid w:val="0041615A"/>
    <w:rsid w:val="004218E2"/>
    <w:rsid w:val="00425127"/>
    <w:rsid w:val="00431D0B"/>
    <w:rsid w:val="00433BDC"/>
    <w:rsid w:val="00437D43"/>
    <w:rsid w:val="0044608D"/>
    <w:rsid w:val="00454E8A"/>
    <w:rsid w:val="00461C59"/>
    <w:rsid w:val="0047237D"/>
    <w:rsid w:val="0047430C"/>
    <w:rsid w:val="00474FF9"/>
    <w:rsid w:val="004753BB"/>
    <w:rsid w:val="0049361A"/>
    <w:rsid w:val="004A06E2"/>
    <w:rsid w:val="004A68CA"/>
    <w:rsid w:val="004B3E46"/>
    <w:rsid w:val="004B6322"/>
    <w:rsid w:val="004B694A"/>
    <w:rsid w:val="004C54D2"/>
    <w:rsid w:val="004C680F"/>
    <w:rsid w:val="004C7F29"/>
    <w:rsid w:val="004D14FD"/>
    <w:rsid w:val="004D4631"/>
    <w:rsid w:val="004E33EB"/>
    <w:rsid w:val="004F387A"/>
    <w:rsid w:val="004F40C4"/>
    <w:rsid w:val="00504D07"/>
    <w:rsid w:val="005105F2"/>
    <w:rsid w:val="00523B5D"/>
    <w:rsid w:val="005348E1"/>
    <w:rsid w:val="005367AA"/>
    <w:rsid w:val="00543205"/>
    <w:rsid w:val="00547585"/>
    <w:rsid w:val="00562A0D"/>
    <w:rsid w:val="00563B55"/>
    <w:rsid w:val="005646BD"/>
    <w:rsid w:val="005679DB"/>
    <w:rsid w:val="005709AA"/>
    <w:rsid w:val="005733BF"/>
    <w:rsid w:val="00585328"/>
    <w:rsid w:val="005933B3"/>
    <w:rsid w:val="005A441A"/>
    <w:rsid w:val="005B33C6"/>
    <w:rsid w:val="005D1230"/>
    <w:rsid w:val="005D23B7"/>
    <w:rsid w:val="005D582D"/>
    <w:rsid w:val="005D66F5"/>
    <w:rsid w:val="005F4277"/>
    <w:rsid w:val="005F5AD9"/>
    <w:rsid w:val="00602734"/>
    <w:rsid w:val="0060671B"/>
    <w:rsid w:val="00613349"/>
    <w:rsid w:val="00613F62"/>
    <w:rsid w:val="00631B45"/>
    <w:rsid w:val="00637A49"/>
    <w:rsid w:val="00651D5A"/>
    <w:rsid w:val="0065270B"/>
    <w:rsid w:val="006604D4"/>
    <w:rsid w:val="0066125D"/>
    <w:rsid w:val="00666EC5"/>
    <w:rsid w:val="0067580B"/>
    <w:rsid w:val="00680A67"/>
    <w:rsid w:val="00685B56"/>
    <w:rsid w:val="00691510"/>
    <w:rsid w:val="006949EF"/>
    <w:rsid w:val="00695ED9"/>
    <w:rsid w:val="006A02F7"/>
    <w:rsid w:val="006A4A9B"/>
    <w:rsid w:val="006B2119"/>
    <w:rsid w:val="006C1629"/>
    <w:rsid w:val="006C5458"/>
    <w:rsid w:val="006D4410"/>
    <w:rsid w:val="006E5CE9"/>
    <w:rsid w:val="006E788C"/>
    <w:rsid w:val="006F1DBD"/>
    <w:rsid w:val="006F46A4"/>
    <w:rsid w:val="00700851"/>
    <w:rsid w:val="00704625"/>
    <w:rsid w:val="007231A7"/>
    <w:rsid w:val="00732B11"/>
    <w:rsid w:val="00733F50"/>
    <w:rsid w:val="00742B68"/>
    <w:rsid w:val="007438C1"/>
    <w:rsid w:val="00750FD7"/>
    <w:rsid w:val="007623AC"/>
    <w:rsid w:val="00763B81"/>
    <w:rsid w:val="00771FCE"/>
    <w:rsid w:val="007737B5"/>
    <w:rsid w:val="00777DA0"/>
    <w:rsid w:val="00780150"/>
    <w:rsid w:val="00784361"/>
    <w:rsid w:val="00791965"/>
    <w:rsid w:val="00797C74"/>
    <w:rsid w:val="00806F63"/>
    <w:rsid w:val="00807425"/>
    <w:rsid w:val="008122A2"/>
    <w:rsid w:val="0081602D"/>
    <w:rsid w:val="00832E0D"/>
    <w:rsid w:val="008402FC"/>
    <w:rsid w:val="00843599"/>
    <w:rsid w:val="00847228"/>
    <w:rsid w:val="008556D0"/>
    <w:rsid w:val="00860D56"/>
    <w:rsid w:val="008626C5"/>
    <w:rsid w:val="00863D16"/>
    <w:rsid w:val="0086404C"/>
    <w:rsid w:val="008749C2"/>
    <w:rsid w:val="0087561F"/>
    <w:rsid w:val="008931DF"/>
    <w:rsid w:val="008A0148"/>
    <w:rsid w:val="008A188E"/>
    <w:rsid w:val="008A1F29"/>
    <w:rsid w:val="008A3AA3"/>
    <w:rsid w:val="008A4B23"/>
    <w:rsid w:val="008B7497"/>
    <w:rsid w:val="008C2C9B"/>
    <w:rsid w:val="008C3978"/>
    <w:rsid w:val="008C4820"/>
    <w:rsid w:val="008C557C"/>
    <w:rsid w:val="008D11F2"/>
    <w:rsid w:val="008D2748"/>
    <w:rsid w:val="008D327E"/>
    <w:rsid w:val="008E2C35"/>
    <w:rsid w:val="008E37A6"/>
    <w:rsid w:val="008E5BB4"/>
    <w:rsid w:val="008F38D9"/>
    <w:rsid w:val="008F430D"/>
    <w:rsid w:val="009010B1"/>
    <w:rsid w:val="00910427"/>
    <w:rsid w:val="0091702F"/>
    <w:rsid w:val="009170C6"/>
    <w:rsid w:val="00925319"/>
    <w:rsid w:val="00937B90"/>
    <w:rsid w:val="00940D45"/>
    <w:rsid w:val="009412A3"/>
    <w:rsid w:val="009514DA"/>
    <w:rsid w:val="00953B34"/>
    <w:rsid w:val="00966A7C"/>
    <w:rsid w:val="00980661"/>
    <w:rsid w:val="00980EC2"/>
    <w:rsid w:val="00981459"/>
    <w:rsid w:val="009A7F1D"/>
    <w:rsid w:val="009B0F1F"/>
    <w:rsid w:val="009B5FD7"/>
    <w:rsid w:val="009C3183"/>
    <w:rsid w:val="009D4404"/>
    <w:rsid w:val="009E2FD6"/>
    <w:rsid w:val="009E3770"/>
    <w:rsid w:val="009E40B5"/>
    <w:rsid w:val="009E6ADA"/>
    <w:rsid w:val="009F3141"/>
    <w:rsid w:val="00A0073C"/>
    <w:rsid w:val="00A07971"/>
    <w:rsid w:val="00A10547"/>
    <w:rsid w:val="00A24741"/>
    <w:rsid w:val="00A3056E"/>
    <w:rsid w:val="00A31A57"/>
    <w:rsid w:val="00A32C67"/>
    <w:rsid w:val="00A4525D"/>
    <w:rsid w:val="00A614BC"/>
    <w:rsid w:val="00A640DE"/>
    <w:rsid w:val="00A704AA"/>
    <w:rsid w:val="00A756D0"/>
    <w:rsid w:val="00A813C3"/>
    <w:rsid w:val="00A90D0E"/>
    <w:rsid w:val="00A9602F"/>
    <w:rsid w:val="00AA390F"/>
    <w:rsid w:val="00AA64AD"/>
    <w:rsid w:val="00AB6FD6"/>
    <w:rsid w:val="00AD17F9"/>
    <w:rsid w:val="00AD71FA"/>
    <w:rsid w:val="00AE086E"/>
    <w:rsid w:val="00AE18FA"/>
    <w:rsid w:val="00AF34BF"/>
    <w:rsid w:val="00AF6ADF"/>
    <w:rsid w:val="00B020AB"/>
    <w:rsid w:val="00B05330"/>
    <w:rsid w:val="00B05D26"/>
    <w:rsid w:val="00B1635F"/>
    <w:rsid w:val="00B208BE"/>
    <w:rsid w:val="00B324F9"/>
    <w:rsid w:val="00B332F3"/>
    <w:rsid w:val="00B36DCC"/>
    <w:rsid w:val="00B40617"/>
    <w:rsid w:val="00B43468"/>
    <w:rsid w:val="00B57241"/>
    <w:rsid w:val="00B6382A"/>
    <w:rsid w:val="00B641B5"/>
    <w:rsid w:val="00B64A9D"/>
    <w:rsid w:val="00B662D1"/>
    <w:rsid w:val="00B804CD"/>
    <w:rsid w:val="00B9352E"/>
    <w:rsid w:val="00B971E8"/>
    <w:rsid w:val="00BB4EF8"/>
    <w:rsid w:val="00BD303D"/>
    <w:rsid w:val="00BD589F"/>
    <w:rsid w:val="00BD7B1D"/>
    <w:rsid w:val="00BF4B3A"/>
    <w:rsid w:val="00C01084"/>
    <w:rsid w:val="00C025F5"/>
    <w:rsid w:val="00C03A61"/>
    <w:rsid w:val="00C11C7F"/>
    <w:rsid w:val="00C129E5"/>
    <w:rsid w:val="00C20C21"/>
    <w:rsid w:val="00C30A0C"/>
    <w:rsid w:val="00C461A5"/>
    <w:rsid w:val="00C47E22"/>
    <w:rsid w:val="00C71E6B"/>
    <w:rsid w:val="00C738C3"/>
    <w:rsid w:val="00C770CD"/>
    <w:rsid w:val="00C81714"/>
    <w:rsid w:val="00C81ACA"/>
    <w:rsid w:val="00C82A72"/>
    <w:rsid w:val="00C858A7"/>
    <w:rsid w:val="00C875DF"/>
    <w:rsid w:val="00C9534F"/>
    <w:rsid w:val="00C97500"/>
    <w:rsid w:val="00CA4AC7"/>
    <w:rsid w:val="00CA6342"/>
    <w:rsid w:val="00CA6ACF"/>
    <w:rsid w:val="00CB7576"/>
    <w:rsid w:val="00CC7236"/>
    <w:rsid w:val="00CD02DA"/>
    <w:rsid w:val="00CD5391"/>
    <w:rsid w:val="00CD7885"/>
    <w:rsid w:val="00D01B18"/>
    <w:rsid w:val="00D250B8"/>
    <w:rsid w:val="00D30A9E"/>
    <w:rsid w:val="00D30F4E"/>
    <w:rsid w:val="00D3104D"/>
    <w:rsid w:val="00D329B6"/>
    <w:rsid w:val="00D363C1"/>
    <w:rsid w:val="00D3743F"/>
    <w:rsid w:val="00D37627"/>
    <w:rsid w:val="00D410D6"/>
    <w:rsid w:val="00D47E90"/>
    <w:rsid w:val="00D54107"/>
    <w:rsid w:val="00D55E55"/>
    <w:rsid w:val="00D56B18"/>
    <w:rsid w:val="00D6566D"/>
    <w:rsid w:val="00D7581C"/>
    <w:rsid w:val="00D75D91"/>
    <w:rsid w:val="00DB4BDB"/>
    <w:rsid w:val="00DC464D"/>
    <w:rsid w:val="00DC5299"/>
    <w:rsid w:val="00DC6DF1"/>
    <w:rsid w:val="00DC73D2"/>
    <w:rsid w:val="00DD25E5"/>
    <w:rsid w:val="00DD6DDC"/>
    <w:rsid w:val="00DF6C0D"/>
    <w:rsid w:val="00DF7EDE"/>
    <w:rsid w:val="00E04C72"/>
    <w:rsid w:val="00E23A8B"/>
    <w:rsid w:val="00E30515"/>
    <w:rsid w:val="00E45C16"/>
    <w:rsid w:val="00E525C1"/>
    <w:rsid w:val="00E5292E"/>
    <w:rsid w:val="00E6519E"/>
    <w:rsid w:val="00E651F6"/>
    <w:rsid w:val="00E65F7E"/>
    <w:rsid w:val="00E76FB9"/>
    <w:rsid w:val="00E848FC"/>
    <w:rsid w:val="00E87687"/>
    <w:rsid w:val="00EA2505"/>
    <w:rsid w:val="00EB5F55"/>
    <w:rsid w:val="00EC0B48"/>
    <w:rsid w:val="00EC33A2"/>
    <w:rsid w:val="00EC5664"/>
    <w:rsid w:val="00ED3892"/>
    <w:rsid w:val="00EF3802"/>
    <w:rsid w:val="00F0335F"/>
    <w:rsid w:val="00F044DF"/>
    <w:rsid w:val="00F17747"/>
    <w:rsid w:val="00F17EDF"/>
    <w:rsid w:val="00F20617"/>
    <w:rsid w:val="00F21FCB"/>
    <w:rsid w:val="00F32B88"/>
    <w:rsid w:val="00F338F7"/>
    <w:rsid w:val="00F446C7"/>
    <w:rsid w:val="00F46897"/>
    <w:rsid w:val="00F50A41"/>
    <w:rsid w:val="00F55825"/>
    <w:rsid w:val="00F62E11"/>
    <w:rsid w:val="00F6689C"/>
    <w:rsid w:val="00F6718A"/>
    <w:rsid w:val="00F80602"/>
    <w:rsid w:val="00F822A9"/>
    <w:rsid w:val="00F9240C"/>
    <w:rsid w:val="00F95DD5"/>
    <w:rsid w:val="00FA1815"/>
    <w:rsid w:val="00FA465B"/>
    <w:rsid w:val="00FC11C5"/>
    <w:rsid w:val="00FD2EB7"/>
    <w:rsid w:val="00FD5119"/>
    <w:rsid w:val="00FD580D"/>
    <w:rsid w:val="00FE068E"/>
    <w:rsid w:val="00FE1AB5"/>
    <w:rsid w:val="00FF33DD"/>
    <w:rsid w:val="00FF54C2"/>
    <w:rsid w:val="00FF5B23"/>
    <w:rsid w:val="00FF6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C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72"/>
    <w:rPr>
      <w:sz w:val="24"/>
      <w:szCs w:val="24"/>
      <w:lang w:eastAsia="en-US"/>
    </w:rPr>
  </w:style>
  <w:style w:type="paragraph" w:styleId="Heading1">
    <w:name w:val="heading 1"/>
    <w:basedOn w:val="Normal"/>
    <w:next w:val="Normal"/>
    <w:link w:val="Heading1Char"/>
    <w:qFormat/>
    <w:rsid w:val="00E651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651F6"/>
    <w:pPr>
      <w:keepNext/>
      <w:jc w:val="both"/>
      <w:outlineLvl w:val="1"/>
    </w:pPr>
    <w:rPr>
      <w:b/>
      <w:bCs/>
    </w:rPr>
  </w:style>
  <w:style w:type="paragraph" w:styleId="Heading3">
    <w:name w:val="heading 3"/>
    <w:basedOn w:val="Normal"/>
    <w:next w:val="Normal"/>
    <w:link w:val="Heading3Char"/>
    <w:qFormat/>
    <w:rsid w:val="00E651F6"/>
    <w:pPr>
      <w:keepNext/>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pPr>
      <w:numPr>
        <w:numId w:val="1"/>
      </w:numPr>
    </w:pPr>
    <w:rPr>
      <w:sz w:val="20"/>
      <w:szCs w:val="20"/>
    </w:rPr>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ind w:left="1440" w:hanging="1440"/>
    </w:pPr>
    <w:rPr>
      <w:rFonts w:ascii="Arial" w:hAnsi="Arial" w:cs="Arial"/>
      <w:b/>
      <w:bCs/>
      <w:sz w:val="20"/>
    </w:rPr>
  </w:style>
  <w:style w:type="table" w:styleId="TableGrid">
    <w:name w:val="Table Grid"/>
    <w:basedOn w:val="TableNormal"/>
    <w:rsid w:val="0020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45D36"/>
    <w:pPr>
      <w:tabs>
        <w:tab w:val="center" w:pos="4153"/>
        <w:tab w:val="right" w:pos="8306"/>
      </w:tabs>
    </w:pPr>
  </w:style>
  <w:style w:type="paragraph" w:styleId="FootnoteText">
    <w:name w:val="footnote text"/>
    <w:basedOn w:val="Normal"/>
    <w:link w:val="FootnoteTextChar"/>
    <w:rsid w:val="00E651F6"/>
    <w:rPr>
      <w:rFonts w:eastAsia="SimSun"/>
      <w:sz w:val="20"/>
      <w:szCs w:val="20"/>
      <w:lang w:eastAsia="zh-CN"/>
    </w:rPr>
  </w:style>
  <w:style w:type="character" w:styleId="FootnoteReference">
    <w:name w:val="footnote reference"/>
    <w:rsid w:val="00E651F6"/>
    <w:rPr>
      <w:vertAlign w:val="superscript"/>
    </w:rPr>
  </w:style>
  <w:style w:type="character" w:styleId="Hyperlink">
    <w:name w:val="Hyperlink"/>
    <w:rsid w:val="00E651F6"/>
    <w:rPr>
      <w:color w:val="0000FF"/>
      <w:u w:val="single"/>
    </w:rPr>
  </w:style>
  <w:style w:type="paragraph" w:styleId="Title">
    <w:name w:val="Title"/>
    <w:basedOn w:val="Normal"/>
    <w:qFormat/>
    <w:rsid w:val="00E651F6"/>
    <w:pPr>
      <w:jc w:val="center"/>
    </w:pPr>
    <w:rPr>
      <w:rFonts w:ascii="Arial" w:hAnsi="Arial" w:cs="Arial"/>
      <w:b/>
      <w:sz w:val="20"/>
      <w:szCs w:val="20"/>
      <w:u w:val="single"/>
    </w:rPr>
  </w:style>
  <w:style w:type="paragraph" w:styleId="BodyTextIndent2">
    <w:name w:val="Body Text Indent 2"/>
    <w:basedOn w:val="Normal"/>
    <w:rsid w:val="00E651F6"/>
    <w:pPr>
      <w:spacing w:after="120" w:line="480" w:lineRule="auto"/>
      <w:ind w:left="283"/>
    </w:pPr>
  </w:style>
  <w:style w:type="paragraph" w:styleId="BodyTextIndent3">
    <w:name w:val="Body Text Indent 3"/>
    <w:basedOn w:val="Normal"/>
    <w:rsid w:val="00E651F6"/>
    <w:pPr>
      <w:spacing w:after="120"/>
      <w:ind w:left="283"/>
    </w:pPr>
    <w:rPr>
      <w:sz w:val="16"/>
      <w:szCs w:val="16"/>
    </w:rPr>
  </w:style>
  <w:style w:type="paragraph" w:styleId="BodyText">
    <w:name w:val="Body Text"/>
    <w:basedOn w:val="Normal"/>
    <w:rsid w:val="00E651F6"/>
    <w:pPr>
      <w:spacing w:after="120"/>
    </w:pPr>
  </w:style>
  <w:style w:type="paragraph" w:styleId="BalloonText">
    <w:name w:val="Balloon Text"/>
    <w:basedOn w:val="Normal"/>
    <w:link w:val="BalloonTextChar"/>
    <w:rsid w:val="00784361"/>
    <w:rPr>
      <w:rFonts w:ascii="Tahoma" w:hAnsi="Tahoma" w:cs="Tahoma"/>
      <w:sz w:val="16"/>
      <w:szCs w:val="16"/>
    </w:rPr>
  </w:style>
  <w:style w:type="character" w:customStyle="1" w:styleId="BalloonTextChar">
    <w:name w:val="Balloon Text Char"/>
    <w:link w:val="BalloonText"/>
    <w:rsid w:val="00784361"/>
    <w:rPr>
      <w:rFonts w:ascii="Tahoma" w:hAnsi="Tahoma" w:cs="Tahoma"/>
      <w:sz w:val="16"/>
      <w:szCs w:val="16"/>
      <w:lang w:eastAsia="en-US"/>
    </w:rPr>
  </w:style>
  <w:style w:type="character" w:customStyle="1" w:styleId="HeaderChar">
    <w:name w:val="Header Char"/>
    <w:link w:val="Header"/>
    <w:uiPriority w:val="99"/>
    <w:rsid w:val="008E2C35"/>
    <w:rPr>
      <w:lang w:eastAsia="en-US"/>
    </w:rPr>
  </w:style>
  <w:style w:type="character" w:customStyle="1" w:styleId="Heading1Char">
    <w:name w:val="Heading 1 Char"/>
    <w:link w:val="Heading1"/>
    <w:rsid w:val="00BB4EF8"/>
    <w:rPr>
      <w:rFonts w:ascii="Arial" w:hAnsi="Arial" w:cs="Arial"/>
      <w:b/>
      <w:bCs/>
      <w:kern w:val="32"/>
      <w:sz w:val="32"/>
      <w:szCs w:val="32"/>
      <w:lang w:eastAsia="en-US"/>
    </w:rPr>
  </w:style>
  <w:style w:type="character" w:customStyle="1" w:styleId="Heading2Char">
    <w:name w:val="Heading 2 Char"/>
    <w:link w:val="Heading2"/>
    <w:rsid w:val="00BB4EF8"/>
    <w:rPr>
      <w:b/>
      <w:bCs/>
      <w:sz w:val="24"/>
      <w:szCs w:val="24"/>
      <w:lang w:eastAsia="en-US"/>
    </w:rPr>
  </w:style>
  <w:style w:type="character" w:customStyle="1" w:styleId="Heading3Char">
    <w:name w:val="Heading 3 Char"/>
    <w:link w:val="Heading3"/>
    <w:rsid w:val="00BB4EF8"/>
    <w:rPr>
      <w:b/>
      <w:bCs/>
      <w:szCs w:val="24"/>
      <w:lang w:eastAsia="en-US"/>
    </w:rPr>
  </w:style>
  <w:style w:type="character" w:customStyle="1" w:styleId="FootnoteTextChar">
    <w:name w:val="Footnote Text Char"/>
    <w:link w:val="FootnoteText"/>
    <w:rsid w:val="00BB4EF8"/>
    <w:rPr>
      <w:rFonts w:eastAsia="SimSun"/>
      <w:lang w:eastAsia="zh-CN"/>
    </w:rPr>
  </w:style>
  <w:style w:type="paragraph" w:styleId="ListParagraph">
    <w:name w:val="List Paragraph"/>
    <w:basedOn w:val="Normal"/>
    <w:uiPriority w:val="34"/>
    <w:qFormat/>
    <w:rsid w:val="00651D5A"/>
    <w:pPr>
      <w:ind w:left="720"/>
    </w:pPr>
  </w:style>
  <w:style w:type="paragraph" w:styleId="BodyText2">
    <w:name w:val="Body Text 2"/>
    <w:basedOn w:val="Normal"/>
    <w:link w:val="BodyText2Char"/>
    <w:rsid w:val="006A4A9B"/>
    <w:pPr>
      <w:spacing w:after="120" w:line="480" w:lineRule="auto"/>
    </w:pPr>
  </w:style>
  <w:style w:type="character" w:customStyle="1" w:styleId="BodyText2Char">
    <w:name w:val="Body Text 2 Char"/>
    <w:basedOn w:val="DefaultParagraphFont"/>
    <w:link w:val="BodyText2"/>
    <w:rsid w:val="006A4A9B"/>
    <w:rPr>
      <w:sz w:val="24"/>
      <w:szCs w:val="24"/>
      <w:lang w:eastAsia="en-US"/>
    </w:rPr>
  </w:style>
  <w:style w:type="character" w:styleId="CommentReference">
    <w:name w:val="annotation reference"/>
    <w:basedOn w:val="DefaultParagraphFont"/>
    <w:rsid w:val="00EC33A2"/>
    <w:rPr>
      <w:sz w:val="16"/>
      <w:szCs w:val="16"/>
    </w:rPr>
  </w:style>
  <w:style w:type="paragraph" w:styleId="CommentText">
    <w:name w:val="annotation text"/>
    <w:basedOn w:val="Normal"/>
    <w:link w:val="CommentTextChar"/>
    <w:rsid w:val="00EC33A2"/>
    <w:rPr>
      <w:sz w:val="20"/>
      <w:szCs w:val="20"/>
    </w:rPr>
  </w:style>
  <w:style w:type="character" w:customStyle="1" w:styleId="CommentTextChar">
    <w:name w:val="Comment Text Char"/>
    <w:basedOn w:val="DefaultParagraphFont"/>
    <w:link w:val="CommentText"/>
    <w:rsid w:val="00EC33A2"/>
    <w:rPr>
      <w:lang w:eastAsia="en-US"/>
    </w:rPr>
  </w:style>
  <w:style w:type="paragraph" w:styleId="CommentSubject">
    <w:name w:val="annotation subject"/>
    <w:basedOn w:val="CommentText"/>
    <w:next w:val="CommentText"/>
    <w:link w:val="CommentSubjectChar"/>
    <w:rsid w:val="00EC33A2"/>
    <w:rPr>
      <w:b/>
      <w:bCs/>
    </w:rPr>
  </w:style>
  <w:style w:type="character" w:customStyle="1" w:styleId="CommentSubjectChar">
    <w:name w:val="Comment Subject Char"/>
    <w:basedOn w:val="CommentTextChar"/>
    <w:link w:val="CommentSubject"/>
    <w:rsid w:val="00EC33A2"/>
    <w:rPr>
      <w:b/>
      <w:bCs/>
      <w:lang w:eastAsia="en-US"/>
    </w:rPr>
  </w:style>
  <w:style w:type="paragraph" w:styleId="Revision">
    <w:name w:val="Revision"/>
    <w:hidden/>
    <w:uiPriority w:val="99"/>
    <w:semiHidden/>
    <w:rsid w:val="00A10547"/>
    <w:rPr>
      <w:sz w:val="24"/>
      <w:szCs w:val="24"/>
      <w:lang w:eastAsia="en-US"/>
    </w:rPr>
  </w:style>
  <w:style w:type="paragraph" w:customStyle="1" w:styleId="Default">
    <w:name w:val="Default"/>
    <w:rsid w:val="000754ED"/>
    <w:pPr>
      <w:autoSpaceDE w:val="0"/>
      <w:autoSpaceDN w:val="0"/>
      <w:adjustRightInd w:val="0"/>
    </w:pPr>
    <w:rPr>
      <w:rFonts w:ascii="Rockwell" w:hAnsi="Rockwell" w:cs="Rockwell"/>
      <w:color w:val="000000"/>
      <w:sz w:val="24"/>
      <w:szCs w:val="24"/>
    </w:rPr>
  </w:style>
  <w:style w:type="paragraph" w:styleId="NoSpacing">
    <w:name w:val="No Spacing"/>
    <w:uiPriority w:val="1"/>
    <w:qFormat/>
    <w:rsid w:val="00685B56"/>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C47E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72"/>
    <w:rPr>
      <w:sz w:val="24"/>
      <w:szCs w:val="24"/>
      <w:lang w:eastAsia="en-US"/>
    </w:rPr>
  </w:style>
  <w:style w:type="paragraph" w:styleId="Heading1">
    <w:name w:val="heading 1"/>
    <w:basedOn w:val="Normal"/>
    <w:next w:val="Normal"/>
    <w:link w:val="Heading1Char"/>
    <w:qFormat/>
    <w:rsid w:val="00E651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651F6"/>
    <w:pPr>
      <w:keepNext/>
      <w:jc w:val="both"/>
      <w:outlineLvl w:val="1"/>
    </w:pPr>
    <w:rPr>
      <w:b/>
      <w:bCs/>
    </w:rPr>
  </w:style>
  <w:style w:type="paragraph" w:styleId="Heading3">
    <w:name w:val="heading 3"/>
    <w:basedOn w:val="Normal"/>
    <w:next w:val="Normal"/>
    <w:link w:val="Heading3Char"/>
    <w:qFormat/>
    <w:rsid w:val="00E651F6"/>
    <w:pPr>
      <w:keepNext/>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pPr>
      <w:numPr>
        <w:numId w:val="1"/>
      </w:numPr>
    </w:pPr>
    <w:rPr>
      <w:sz w:val="20"/>
      <w:szCs w:val="20"/>
    </w:rPr>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ind w:left="1440" w:hanging="1440"/>
    </w:pPr>
    <w:rPr>
      <w:rFonts w:ascii="Arial" w:hAnsi="Arial" w:cs="Arial"/>
      <w:b/>
      <w:bCs/>
      <w:sz w:val="20"/>
    </w:rPr>
  </w:style>
  <w:style w:type="table" w:styleId="TableGrid">
    <w:name w:val="Table Grid"/>
    <w:basedOn w:val="TableNormal"/>
    <w:rsid w:val="0020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45D36"/>
    <w:pPr>
      <w:tabs>
        <w:tab w:val="center" w:pos="4153"/>
        <w:tab w:val="right" w:pos="8306"/>
      </w:tabs>
    </w:pPr>
  </w:style>
  <w:style w:type="paragraph" w:styleId="FootnoteText">
    <w:name w:val="footnote text"/>
    <w:basedOn w:val="Normal"/>
    <w:link w:val="FootnoteTextChar"/>
    <w:rsid w:val="00E651F6"/>
    <w:rPr>
      <w:rFonts w:eastAsia="SimSun"/>
      <w:sz w:val="20"/>
      <w:szCs w:val="20"/>
      <w:lang w:eastAsia="zh-CN"/>
    </w:rPr>
  </w:style>
  <w:style w:type="character" w:styleId="FootnoteReference">
    <w:name w:val="footnote reference"/>
    <w:rsid w:val="00E651F6"/>
    <w:rPr>
      <w:vertAlign w:val="superscript"/>
    </w:rPr>
  </w:style>
  <w:style w:type="character" w:styleId="Hyperlink">
    <w:name w:val="Hyperlink"/>
    <w:rsid w:val="00E651F6"/>
    <w:rPr>
      <w:color w:val="0000FF"/>
      <w:u w:val="single"/>
    </w:rPr>
  </w:style>
  <w:style w:type="paragraph" w:styleId="Title">
    <w:name w:val="Title"/>
    <w:basedOn w:val="Normal"/>
    <w:qFormat/>
    <w:rsid w:val="00E651F6"/>
    <w:pPr>
      <w:jc w:val="center"/>
    </w:pPr>
    <w:rPr>
      <w:rFonts w:ascii="Arial" w:hAnsi="Arial" w:cs="Arial"/>
      <w:b/>
      <w:sz w:val="20"/>
      <w:szCs w:val="20"/>
      <w:u w:val="single"/>
    </w:rPr>
  </w:style>
  <w:style w:type="paragraph" w:styleId="BodyTextIndent2">
    <w:name w:val="Body Text Indent 2"/>
    <w:basedOn w:val="Normal"/>
    <w:rsid w:val="00E651F6"/>
    <w:pPr>
      <w:spacing w:after="120" w:line="480" w:lineRule="auto"/>
      <w:ind w:left="283"/>
    </w:pPr>
  </w:style>
  <w:style w:type="paragraph" w:styleId="BodyTextIndent3">
    <w:name w:val="Body Text Indent 3"/>
    <w:basedOn w:val="Normal"/>
    <w:rsid w:val="00E651F6"/>
    <w:pPr>
      <w:spacing w:after="120"/>
      <w:ind w:left="283"/>
    </w:pPr>
    <w:rPr>
      <w:sz w:val="16"/>
      <w:szCs w:val="16"/>
    </w:rPr>
  </w:style>
  <w:style w:type="paragraph" w:styleId="BodyText">
    <w:name w:val="Body Text"/>
    <w:basedOn w:val="Normal"/>
    <w:rsid w:val="00E651F6"/>
    <w:pPr>
      <w:spacing w:after="120"/>
    </w:pPr>
  </w:style>
  <w:style w:type="paragraph" w:styleId="BalloonText">
    <w:name w:val="Balloon Text"/>
    <w:basedOn w:val="Normal"/>
    <w:link w:val="BalloonTextChar"/>
    <w:rsid w:val="00784361"/>
    <w:rPr>
      <w:rFonts w:ascii="Tahoma" w:hAnsi="Tahoma" w:cs="Tahoma"/>
      <w:sz w:val="16"/>
      <w:szCs w:val="16"/>
    </w:rPr>
  </w:style>
  <w:style w:type="character" w:customStyle="1" w:styleId="BalloonTextChar">
    <w:name w:val="Balloon Text Char"/>
    <w:link w:val="BalloonText"/>
    <w:rsid w:val="00784361"/>
    <w:rPr>
      <w:rFonts w:ascii="Tahoma" w:hAnsi="Tahoma" w:cs="Tahoma"/>
      <w:sz w:val="16"/>
      <w:szCs w:val="16"/>
      <w:lang w:eastAsia="en-US"/>
    </w:rPr>
  </w:style>
  <w:style w:type="character" w:customStyle="1" w:styleId="HeaderChar">
    <w:name w:val="Header Char"/>
    <w:link w:val="Header"/>
    <w:uiPriority w:val="99"/>
    <w:rsid w:val="008E2C35"/>
    <w:rPr>
      <w:lang w:eastAsia="en-US"/>
    </w:rPr>
  </w:style>
  <w:style w:type="character" w:customStyle="1" w:styleId="Heading1Char">
    <w:name w:val="Heading 1 Char"/>
    <w:link w:val="Heading1"/>
    <w:rsid w:val="00BB4EF8"/>
    <w:rPr>
      <w:rFonts w:ascii="Arial" w:hAnsi="Arial" w:cs="Arial"/>
      <w:b/>
      <w:bCs/>
      <w:kern w:val="32"/>
      <w:sz w:val="32"/>
      <w:szCs w:val="32"/>
      <w:lang w:eastAsia="en-US"/>
    </w:rPr>
  </w:style>
  <w:style w:type="character" w:customStyle="1" w:styleId="Heading2Char">
    <w:name w:val="Heading 2 Char"/>
    <w:link w:val="Heading2"/>
    <w:rsid w:val="00BB4EF8"/>
    <w:rPr>
      <w:b/>
      <w:bCs/>
      <w:sz w:val="24"/>
      <w:szCs w:val="24"/>
      <w:lang w:eastAsia="en-US"/>
    </w:rPr>
  </w:style>
  <w:style w:type="character" w:customStyle="1" w:styleId="Heading3Char">
    <w:name w:val="Heading 3 Char"/>
    <w:link w:val="Heading3"/>
    <w:rsid w:val="00BB4EF8"/>
    <w:rPr>
      <w:b/>
      <w:bCs/>
      <w:szCs w:val="24"/>
      <w:lang w:eastAsia="en-US"/>
    </w:rPr>
  </w:style>
  <w:style w:type="character" w:customStyle="1" w:styleId="FootnoteTextChar">
    <w:name w:val="Footnote Text Char"/>
    <w:link w:val="FootnoteText"/>
    <w:rsid w:val="00BB4EF8"/>
    <w:rPr>
      <w:rFonts w:eastAsia="SimSun"/>
      <w:lang w:eastAsia="zh-CN"/>
    </w:rPr>
  </w:style>
  <w:style w:type="paragraph" w:styleId="ListParagraph">
    <w:name w:val="List Paragraph"/>
    <w:basedOn w:val="Normal"/>
    <w:uiPriority w:val="34"/>
    <w:qFormat/>
    <w:rsid w:val="00651D5A"/>
    <w:pPr>
      <w:ind w:left="720"/>
    </w:pPr>
  </w:style>
  <w:style w:type="paragraph" w:styleId="BodyText2">
    <w:name w:val="Body Text 2"/>
    <w:basedOn w:val="Normal"/>
    <w:link w:val="BodyText2Char"/>
    <w:rsid w:val="006A4A9B"/>
    <w:pPr>
      <w:spacing w:after="120" w:line="480" w:lineRule="auto"/>
    </w:pPr>
  </w:style>
  <w:style w:type="character" w:customStyle="1" w:styleId="BodyText2Char">
    <w:name w:val="Body Text 2 Char"/>
    <w:basedOn w:val="DefaultParagraphFont"/>
    <w:link w:val="BodyText2"/>
    <w:rsid w:val="006A4A9B"/>
    <w:rPr>
      <w:sz w:val="24"/>
      <w:szCs w:val="24"/>
      <w:lang w:eastAsia="en-US"/>
    </w:rPr>
  </w:style>
  <w:style w:type="character" w:styleId="CommentReference">
    <w:name w:val="annotation reference"/>
    <w:basedOn w:val="DefaultParagraphFont"/>
    <w:rsid w:val="00EC33A2"/>
    <w:rPr>
      <w:sz w:val="16"/>
      <w:szCs w:val="16"/>
    </w:rPr>
  </w:style>
  <w:style w:type="paragraph" w:styleId="CommentText">
    <w:name w:val="annotation text"/>
    <w:basedOn w:val="Normal"/>
    <w:link w:val="CommentTextChar"/>
    <w:rsid w:val="00EC33A2"/>
    <w:rPr>
      <w:sz w:val="20"/>
      <w:szCs w:val="20"/>
    </w:rPr>
  </w:style>
  <w:style w:type="character" w:customStyle="1" w:styleId="CommentTextChar">
    <w:name w:val="Comment Text Char"/>
    <w:basedOn w:val="DefaultParagraphFont"/>
    <w:link w:val="CommentText"/>
    <w:rsid w:val="00EC33A2"/>
    <w:rPr>
      <w:lang w:eastAsia="en-US"/>
    </w:rPr>
  </w:style>
  <w:style w:type="paragraph" w:styleId="CommentSubject">
    <w:name w:val="annotation subject"/>
    <w:basedOn w:val="CommentText"/>
    <w:next w:val="CommentText"/>
    <w:link w:val="CommentSubjectChar"/>
    <w:rsid w:val="00EC33A2"/>
    <w:rPr>
      <w:b/>
      <w:bCs/>
    </w:rPr>
  </w:style>
  <w:style w:type="character" w:customStyle="1" w:styleId="CommentSubjectChar">
    <w:name w:val="Comment Subject Char"/>
    <w:basedOn w:val="CommentTextChar"/>
    <w:link w:val="CommentSubject"/>
    <w:rsid w:val="00EC33A2"/>
    <w:rPr>
      <w:b/>
      <w:bCs/>
      <w:lang w:eastAsia="en-US"/>
    </w:rPr>
  </w:style>
  <w:style w:type="paragraph" w:styleId="Revision">
    <w:name w:val="Revision"/>
    <w:hidden/>
    <w:uiPriority w:val="99"/>
    <w:semiHidden/>
    <w:rsid w:val="00A10547"/>
    <w:rPr>
      <w:sz w:val="24"/>
      <w:szCs w:val="24"/>
      <w:lang w:eastAsia="en-US"/>
    </w:rPr>
  </w:style>
  <w:style w:type="paragraph" w:customStyle="1" w:styleId="Default">
    <w:name w:val="Default"/>
    <w:rsid w:val="000754ED"/>
    <w:pPr>
      <w:autoSpaceDE w:val="0"/>
      <w:autoSpaceDN w:val="0"/>
      <w:adjustRightInd w:val="0"/>
    </w:pPr>
    <w:rPr>
      <w:rFonts w:ascii="Rockwell" w:hAnsi="Rockwell" w:cs="Rockwell"/>
      <w:color w:val="000000"/>
      <w:sz w:val="24"/>
      <w:szCs w:val="24"/>
    </w:rPr>
  </w:style>
  <w:style w:type="paragraph" w:styleId="NoSpacing">
    <w:name w:val="No Spacing"/>
    <w:uiPriority w:val="1"/>
    <w:qFormat/>
    <w:rsid w:val="00685B56"/>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C47E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03083">
      <w:bodyDiv w:val="1"/>
      <w:marLeft w:val="0"/>
      <w:marRight w:val="0"/>
      <w:marTop w:val="0"/>
      <w:marBottom w:val="0"/>
      <w:divBdr>
        <w:top w:val="none" w:sz="0" w:space="0" w:color="auto"/>
        <w:left w:val="none" w:sz="0" w:space="0" w:color="auto"/>
        <w:bottom w:val="none" w:sz="0" w:space="0" w:color="auto"/>
        <w:right w:val="none" w:sz="0" w:space="0" w:color="auto"/>
      </w:divBdr>
    </w:div>
    <w:div w:id="963542384">
      <w:bodyDiv w:val="1"/>
      <w:marLeft w:val="0"/>
      <w:marRight w:val="0"/>
      <w:marTop w:val="0"/>
      <w:marBottom w:val="0"/>
      <w:divBdr>
        <w:top w:val="none" w:sz="0" w:space="0" w:color="auto"/>
        <w:left w:val="none" w:sz="0" w:space="0" w:color="auto"/>
        <w:bottom w:val="none" w:sz="0" w:space="0" w:color="auto"/>
        <w:right w:val="none" w:sz="0" w:space="0" w:color="auto"/>
      </w:divBdr>
    </w:div>
    <w:div w:id="10101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vice.wolvesunion@wlv.ac.uk" TargetMode="External"/><Relationship Id="rId18" Type="http://schemas.openxmlformats.org/officeDocument/2006/relationships/hyperlink" Target="http://www.wolvesunion.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wolvesunion.org" TargetMode="External"/><Relationship Id="rId7" Type="http://schemas.openxmlformats.org/officeDocument/2006/relationships/footnotes" Target="footnotes.xml"/><Relationship Id="rId12" Type="http://schemas.openxmlformats.org/officeDocument/2006/relationships/hyperlink" Target="mailto:advice.wolvesunion@wlv.ac.uk" TargetMode="External"/><Relationship Id="rId17" Type="http://schemas.openxmlformats.org/officeDocument/2006/relationships/hyperlink" Target="mailto:advice.wolvesunion@wlv.ac.uk" TargetMode="External"/><Relationship Id="rId25" Type="http://schemas.openxmlformats.org/officeDocument/2006/relationships/hyperlink" Target="http://www.wlv.ac.uk/polsregs" TargetMode="External"/><Relationship Id="rId2" Type="http://schemas.openxmlformats.org/officeDocument/2006/relationships/numbering" Target="numbering.xml"/><Relationship Id="rId16" Type="http://schemas.openxmlformats.org/officeDocument/2006/relationships/hyperlink" Target="http://www.wolvesunion.org" TargetMode="External"/><Relationship Id="rId20" Type="http://schemas.openxmlformats.org/officeDocument/2006/relationships/hyperlink" Target="mailto:advice.wolvesunion@wlv.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ductandappeals@wlv.ac.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dvice.wolvesunion@wlv.ac.uk" TargetMode="External"/><Relationship Id="rId23" Type="http://schemas.openxmlformats.org/officeDocument/2006/relationships/hyperlink" Target="mailto:advice.wolvesunion@wlv.ac.uk" TargetMode="External"/><Relationship Id="rId28" Type="http://schemas.openxmlformats.org/officeDocument/2006/relationships/fontTable" Target="fontTable.xml"/><Relationship Id="rId10" Type="http://schemas.openxmlformats.org/officeDocument/2006/relationships/hyperlink" Target="http://www.wlv.ac.uk/conductandappeals" TargetMode="External"/><Relationship Id="rId19" Type="http://schemas.openxmlformats.org/officeDocument/2006/relationships/hyperlink" Target="mailto:conductandappeals@wlv.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olvesunion.org" TargetMode="External"/><Relationship Id="rId22" Type="http://schemas.openxmlformats.org/officeDocument/2006/relationships/hyperlink" Target="http://www.oiahe.org.uk" TargetMode="External"/><Relationship Id="rId27" Type="http://schemas.openxmlformats.org/officeDocument/2006/relationships/footer" Target="footer2.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oiahe.org.uk" TargetMode="External"/><Relationship Id="rId1" Type="http://schemas.openxmlformats.org/officeDocument/2006/relationships/hyperlink" Target="http://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C02B-BC05-4B4C-B84D-D937389E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3841</Words>
  <Characters>20638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Pratt</dc:creator>
  <cp:lastModifiedBy>Green, Julia</cp:lastModifiedBy>
  <cp:revision>2</cp:revision>
  <cp:lastPrinted>2017-10-26T10:55:00Z</cp:lastPrinted>
  <dcterms:created xsi:type="dcterms:W3CDTF">2019-01-04T11:09:00Z</dcterms:created>
  <dcterms:modified xsi:type="dcterms:W3CDTF">2019-01-04T11:09:00Z</dcterms:modified>
</cp:coreProperties>
</file>